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7A1F" w14:textId="40CD3C07" w:rsidR="00355AB1" w:rsidRDefault="00355AB1" w:rsidP="00355AB1">
      <w:pPr>
        <w:pStyle w:val="Head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AU"/>
        </w:rPr>
        <w:drawing>
          <wp:inline distT="0" distB="0" distL="0" distR="0" wp14:anchorId="1C84A8F2" wp14:editId="6C2CD798">
            <wp:extent cx="2487173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A_logo_WLCTL_horizontal1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73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AB1A0" w14:textId="77777777" w:rsidR="00355AB1" w:rsidRDefault="00355AB1" w:rsidP="00355AB1">
      <w:pPr>
        <w:pStyle w:val="Header"/>
        <w:rPr>
          <w:rFonts w:ascii="Century Gothic" w:hAnsi="Century Gothic"/>
          <w:b/>
          <w:sz w:val="32"/>
          <w:szCs w:val="32"/>
        </w:rPr>
      </w:pPr>
    </w:p>
    <w:p w14:paraId="3B9D12A7" w14:textId="77777777" w:rsidR="00355AB1" w:rsidRPr="00355AB1" w:rsidRDefault="00355AB1" w:rsidP="00355AB1">
      <w:pPr>
        <w:rPr>
          <w:rFonts w:ascii="Century Gothic" w:hAnsi="Century Gothic"/>
          <w:bCs/>
          <w:sz w:val="20"/>
          <w:szCs w:val="20"/>
          <w:lang w:val="en-US"/>
        </w:rPr>
      </w:pPr>
      <w:r w:rsidRPr="00355AB1">
        <w:rPr>
          <w:rFonts w:ascii="Century Gothic" w:hAnsi="Century Gothic"/>
          <w:bCs/>
          <w:sz w:val="20"/>
          <w:szCs w:val="20"/>
          <w:lang w:val="en-US"/>
        </w:rPr>
        <w:t>30 March 2020</w:t>
      </w:r>
    </w:p>
    <w:p w14:paraId="280C7D10" w14:textId="1541DBD2" w:rsidR="00355AB1" w:rsidRDefault="00355AB1" w:rsidP="00355AB1">
      <w:pPr>
        <w:pStyle w:val="Head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Government Stimulus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Package</w:t>
      </w:r>
      <w:r>
        <w:rPr>
          <w:rFonts w:ascii="Century Gothic" w:hAnsi="Century Gothic"/>
          <w:b/>
          <w:sz w:val="32"/>
          <w:szCs w:val="32"/>
        </w:rPr>
        <w:t xml:space="preserve"> – </w:t>
      </w:r>
      <w:r>
        <w:rPr>
          <w:rFonts w:ascii="Century Gothic" w:hAnsi="Century Gothic"/>
          <w:b/>
          <w:sz w:val="32"/>
          <w:szCs w:val="32"/>
        </w:rPr>
        <w:t>Charities and Not-for-Profits</w:t>
      </w:r>
    </w:p>
    <w:p w14:paraId="035BAB10" w14:textId="77777777" w:rsidR="00355AB1" w:rsidRDefault="00355AB1" w:rsidP="0014586F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21AC537" w14:textId="77777777" w:rsidR="00355AB1" w:rsidRDefault="00355AB1" w:rsidP="0014586F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46BCEEAF" w14:textId="6EAA1AFF" w:rsidR="0014586F" w:rsidRPr="00355AB1" w:rsidRDefault="0014586F" w:rsidP="0014586F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355AB1">
        <w:rPr>
          <w:rFonts w:ascii="Century Gothic" w:hAnsi="Century Gothic"/>
          <w:b/>
          <w:bCs/>
          <w:sz w:val="20"/>
          <w:szCs w:val="20"/>
          <w:lang w:val="en-US"/>
        </w:rPr>
        <w:t>Background</w:t>
      </w:r>
    </w:p>
    <w:p w14:paraId="6B7E48A8" w14:textId="29BB02EF" w:rsidR="0014586F" w:rsidRPr="00355AB1" w:rsidRDefault="0014586F" w:rsidP="0014586F">
      <w:pPr>
        <w:rPr>
          <w:rFonts w:ascii="Century Gothic" w:hAnsi="Century Gothic"/>
          <w:bCs/>
          <w:sz w:val="20"/>
          <w:szCs w:val="20"/>
          <w:lang w:val="en-US"/>
        </w:rPr>
      </w:pPr>
      <w:r w:rsidRPr="00355AB1">
        <w:rPr>
          <w:rFonts w:ascii="Century Gothic" w:hAnsi="Century Gothic"/>
          <w:bCs/>
          <w:sz w:val="20"/>
          <w:szCs w:val="20"/>
          <w:lang w:val="en-US"/>
        </w:rPr>
        <w:t>The following provides a summary of the government’s stimulus package that may be available to your congregation. Please contact your District Administrator if you have any questions.</w:t>
      </w:r>
    </w:p>
    <w:p w14:paraId="066C5D40" w14:textId="05A22DD0" w:rsidR="0014586F" w:rsidRPr="00355AB1" w:rsidRDefault="0014586F" w:rsidP="0014586F">
      <w:pPr>
        <w:rPr>
          <w:rFonts w:ascii="Century Gothic" w:hAnsi="Century Gothic"/>
          <w:bCs/>
          <w:sz w:val="20"/>
          <w:szCs w:val="20"/>
          <w:lang w:val="en-US"/>
        </w:rPr>
      </w:pPr>
      <w:r w:rsidRPr="00355AB1">
        <w:rPr>
          <w:rFonts w:ascii="Century Gothic" w:hAnsi="Century Gothic"/>
          <w:bCs/>
          <w:sz w:val="20"/>
          <w:szCs w:val="20"/>
          <w:lang w:val="en-US"/>
        </w:rPr>
        <w:t xml:space="preserve">Further information is also available here: </w:t>
      </w:r>
      <w:hyperlink r:id="rId11" w:history="1">
        <w:r w:rsidRPr="00355AB1">
          <w:rPr>
            <w:rStyle w:val="Hyperlink"/>
            <w:rFonts w:ascii="Century Gothic" w:hAnsi="Century Gothic"/>
            <w:bCs/>
            <w:sz w:val="20"/>
            <w:szCs w:val="20"/>
            <w:lang w:val="en-US"/>
          </w:rPr>
          <w:t>https://www.business.gov.au/Risk-management/Emergency-management/Coronavirus-information-and-support-for-business/Boosting-cash-flow-for-employers</w:t>
        </w:r>
      </w:hyperlink>
    </w:p>
    <w:p w14:paraId="3D3577FF" w14:textId="39C42768" w:rsidR="0014586F" w:rsidRPr="00355AB1" w:rsidRDefault="0014586F" w:rsidP="0014586F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355AB1">
        <w:rPr>
          <w:rFonts w:ascii="Century Gothic" w:hAnsi="Century Gothic"/>
          <w:b/>
          <w:bCs/>
          <w:sz w:val="20"/>
          <w:szCs w:val="20"/>
          <w:lang w:val="en-US"/>
        </w:rPr>
        <w:t>Summary</w:t>
      </w:r>
    </w:p>
    <w:p w14:paraId="5AD79414" w14:textId="67B1D478" w:rsidR="0014586F" w:rsidRPr="00355AB1" w:rsidRDefault="0014586F" w:rsidP="0014586F">
      <w:p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The cash flow boost offered by the government </w:t>
      </w:r>
      <w:proofErr w:type="gramStart"/>
      <w:r w:rsidRPr="00355AB1">
        <w:rPr>
          <w:rFonts w:ascii="Century Gothic" w:hAnsi="Century Gothic"/>
          <w:sz w:val="20"/>
          <w:szCs w:val="20"/>
        </w:rPr>
        <w:t>is linked</w:t>
      </w:r>
      <w:proofErr w:type="gramEnd"/>
      <w:r w:rsidRPr="00355AB1">
        <w:rPr>
          <w:rFonts w:ascii="Century Gothic" w:hAnsi="Century Gothic"/>
          <w:sz w:val="20"/>
          <w:szCs w:val="20"/>
        </w:rPr>
        <w:t xml:space="preserve"> to the amount of PAYG withholding reported for the January to June 2020 period.</w:t>
      </w:r>
    </w:p>
    <w:p w14:paraId="3378907F" w14:textId="6F411CCB" w:rsidR="0014586F" w:rsidRPr="00355AB1" w:rsidRDefault="0014586F" w:rsidP="0014586F">
      <w:p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>The basic eligibility requirements for Not for Profits - NFPs (including charities) are as follows:</w:t>
      </w:r>
    </w:p>
    <w:p w14:paraId="334C277D" w14:textId="77777777" w:rsidR="0014586F" w:rsidRPr="00355AB1" w:rsidRDefault="0014586F" w:rsidP="0014586F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The entity must be a small or medium business entity (NFP bodies that would ordinarily be eligible for GST concessions </w:t>
      </w:r>
      <w:proofErr w:type="gramStart"/>
      <w:r w:rsidRPr="00355AB1">
        <w:rPr>
          <w:rFonts w:ascii="Century Gothic" w:hAnsi="Century Gothic"/>
          <w:sz w:val="20"/>
          <w:szCs w:val="20"/>
        </w:rPr>
        <w:t>are deemed</w:t>
      </w:r>
      <w:proofErr w:type="gramEnd"/>
      <w:r w:rsidRPr="00355AB1">
        <w:rPr>
          <w:rFonts w:ascii="Century Gothic" w:hAnsi="Century Gothic"/>
          <w:sz w:val="20"/>
          <w:szCs w:val="20"/>
        </w:rPr>
        <w:t xml:space="preserve"> to satisfy this).</w:t>
      </w:r>
    </w:p>
    <w:p w14:paraId="0B93A79A" w14:textId="77777777" w:rsidR="0014586F" w:rsidRPr="00355AB1" w:rsidRDefault="0014586F" w:rsidP="0014586F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The entity must pay a wage or salary for the relevant </w:t>
      </w:r>
      <w:proofErr w:type="gramStart"/>
      <w:r w:rsidRPr="00355AB1">
        <w:rPr>
          <w:rFonts w:ascii="Century Gothic" w:hAnsi="Century Gothic"/>
          <w:sz w:val="20"/>
          <w:szCs w:val="20"/>
        </w:rPr>
        <w:t>period which</w:t>
      </w:r>
      <w:proofErr w:type="gramEnd"/>
      <w:r w:rsidRPr="00355AB1">
        <w:rPr>
          <w:rFonts w:ascii="Century Gothic" w:hAnsi="Century Gothic"/>
          <w:sz w:val="20"/>
          <w:szCs w:val="20"/>
        </w:rPr>
        <w:t xml:space="preserve"> would ordinarily be reported on an activity statement (irrespective of whether an amount of PAYG is actually withheld).</w:t>
      </w:r>
    </w:p>
    <w:p w14:paraId="7907A918" w14:textId="341AE3D4" w:rsidR="0014586F" w:rsidRPr="00355AB1" w:rsidRDefault="0014586F" w:rsidP="0014586F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>The entity must be ACNC-registered during the period.</w:t>
      </w:r>
    </w:p>
    <w:p w14:paraId="29993AA0" w14:textId="40A76E74" w:rsidR="0014586F" w:rsidRPr="00355AB1" w:rsidRDefault="0014586F" w:rsidP="0014586F">
      <w:p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It is important to note that </w:t>
      </w:r>
      <w:r w:rsidRPr="00355AB1">
        <w:rPr>
          <w:rFonts w:ascii="Century Gothic" w:hAnsi="Century Gothic"/>
          <w:b/>
          <w:bCs/>
          <w:sz w:val="20"/>
          <w:szCs w:val="20"/>
        </w:rPr>
        <w:t>Point 2</w:t>
      </w:r>
      <w:r w:rsidRPr="00355AB1">
        <w:rPr>
          <w:rFonts w:ascii="Century Gothic" w:hAnsi="Century Gothic"/>
          <w:sz w:val="20"/>
          <w:szCs w:val="20"/>
        </w:rPr>
        <w:t xml:space="preserve"> is vital – only entities that pay employees – for taxation purposes this includes pastors - (and </w:t>
      </w:r>
      <w:proofErr w:type="gramStart"/>
      <w:r w:rsidRPr="00355AB1">
        <w:rPr>
          <w:rFonts w:ascii="Century Gothic" w:hAnsi="Century Gothic"/>
          <w:sz w:val="20"/>
          <w:szCs w:val="20"/>
        </w:rPr>
        <w:t>would therefore be registered</w:t>
      </w:r>
      <w:proofErr w:type="gramEnd"/>
      <w:r w:rsidRPr="00355AB1">
        <w:rPr>
          <w:rFonts w:ascii="Century Gothic" w:hAnsi="Century Gothic"/>
          <w:sz w:val="20"/>
          <w:szCs w:val="20"/>
        </w:rPr>
        <w:t xml:space="preserve"> for wage reporting to the ATO) are eligible.</w:t>
      </w:r>
    </w:p>
    <w:p w14:paraId="7B504591" w14:textId="366B282F" w:rsidR="0014586F" w:rsidRPr="00355AB1" w:rsidRDefault="0014586F" w:rsidP="0014586F">
      <w:p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There are two payments as follows (assuming quarterly </w:t>
      </w:r>
      <w:proofErr w:type="gramStart"/>
      <w:r w:rsidRPr="00355AB1">
        <w:rPr>
          <w:rFonts w:ascii="Century Gothic" w:hAnsi="Century Gothic"/>
          <w:sz w:val="20"/>
          <w:szCs w:val="20"/>
        </w:rPr>
        <w:t>activity statement lodgement cycle</w:t>
      </w:r>
      <w:proofErr w:type="gramEnd"/>
      <w:r w:rsidRPr="00355AB1">
        <w:rPr>
          <w:rFonts w:ascii="Century Gothic" w:hAnsi="Century Gothic"/>
          <w:sz w:val="20"/>
          <w:szCs w:val="20"/>
        </w:rPr>
        <w:t>):</w:t>
      </w:r>
    </w:p>
    <w:p w14:paraId="5189C73B" w14:textId="77777777" w:rsidR="0014586F" w:rsidRPr="00355AB1" w:rsidRDefault="0014586F" w:rsidP="0014586F">
      <w:p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b/>
          <w:bCs/>
          <w:sz w:val="20"/>
          <w:szCs w:val="20"/>
        </w:rPr>
        <w:t>First payment</w:t>
      </w:r>
    </w:p>
    <w:p w14:paraId="2DAD1081" w14:textId="77777777" w:rsidR="0014586F" w:rsidRPr="00355AB1" w:rsidRDefault="0014586F" w:rsidP="0014586F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Will be equal to: </w:t>
      </w:r>
    </w:p>
    <w:p w14:paraId="635EF82F" w14:textId="77777777" w:rsidR="0014586F" w:rsidRPr="00355AB1" w:rsidRDefault="0014586F" w:rsidP="0014586F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>100% of the amount of PAYG withheld on the March and June BAS’s, up to a maximum of $50,000; OR</w:t>
      </w:r>
    </w:p>
    <w:p w14:paraId="4D63FC50" w14:textId="77777777" w:rsidR="0014586F" w:rsidRPr="00355AB1" w:rsidRDefault="0014586F" w:rsidP="0014586F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>If PAYGW is less than $10,000 per quarter – the payment will be $10,000 on the March BAS</w:t>
      </w:r>
    </w:p>
    <w:p w14:paraId="3D71937A" w14:textId="3689C4C0" w:rsidR="0014586F" w:rsidRPr="00355AB1" w:rsidRDefault="0014586F" w:rsidP="0014586F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lastRenderedPageBreak/>
        <w:t xml:space="preserve">This </w:t>
      </w:r>
      <w:proofErr w:type="gramStart"/>
      <w:r w:rsidRPr="00355AB1">
        <w:rPr>
          <w:rFonts w:ascii="Century Gothic" w:hAnsi="Century Gothic"/>
          <w:sz w:val="20"/>
          <w:szCs w:val="20"/>
        </w:rPr>
        <w:t>will be applied</w:t>
      </w:r>
      <w:proofErr w:type="gramEnd"/>
      <w:r w:rsidRPr="00355AB1">
        <w:rPr>
          <w:rFonts w:ascii="Century Gothic" w:hAnsi="Century Gothic"/>
          <w:sz w:val="20"/>
          <w:szCs w:val="20"/>
        </w:rPr>
        <w:t xml:space="preserve"> as a credit direct to the entity’s ATO account upon lodgement of the March and June BAS’s. If there is an amount refundable on the BAS as a result, the entity will receive a refund directly to its bank account.</w:t>
      </w:r>
    </w:p>
    <w:p w14:paraId="49337A8C" w14:textId="77777777" w:rsidR="0014586F" w:rsidRPr="00355AB1" w:rsidRDefault="0014586F" w:rsidP="0014586F">
      <w:p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b/>
          <w:bCs/>
          <w:sz w:val="20"/>
          <w:szCs w:val="20"/>
        </w:rPr>
        <w:t>Second payment</w:t>
      </w:r>
      <w:r w:rsidRPr="00355AB1">
        <w:rPr>
          <w:rFonts w:ascii="Century Gothic" w:hAnsi="Century Gothic"/>
          <w:sz w:val="20"/>
          <w:szCs w:val="20"/>
        </w:rPr>
        <w:t xml:space="preserve"> </w:t>
      </w:r>
    </w:p>
    <w:p w14:paraId="56F134C9" w14:textId="77777777" w:rsidR="0014586F" w:rsidRPr="00355AB1" w:rsidRDefault="0014586F" w:rsidP="0014586F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Will be equal to the first payment, paid in equal instalments upon lodgement of the June and </w:t>
      </w:r>
      <w:proofErr w:type="gramStart"/>
      <w:r w:rsidRPr="00355AB1">
        <w:rPr>
          <w:rFonts w:ascii="Century Gothic" w:hAnsi="Century Gothic"/>
          <w:sz w:val="20"/>
          <w:szCs w:val="20"/>
        </w:rPr>
        <w:t>September BAS’s</w:t>
      </w:r>
      <w:proofErr w:type="gramEnd"/>
      <w:r w:rsidRPr="00355AB1">
        <w:rPr>
          <w:rFonts w:ascii="Century Gothic" w:hAnsi="Century Gothic"/>
          <w:sz w:val="20"/>
          <w:szCs w:val="20"/>
        </w:rPr>
        <w:t>.</w:t>
      </w:r>
    </w:p>
    <w:p w14:paraId="7E82DA62" w14:textId="77777777" w:rsidR="0014586F" w:rsidRPr="00355AB1" w:rsidRDefault="0014586F" w:rsidP="0014586F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>Will be applied as credit direct to the entity’s ATO account upon lodgement of the June and September BAS’s</w:t>
      </w:r>
    </w:p>
    <w:p w14:paraId="24B2BB4B" w14:textId="7BF874CD" w:rsidR="0014586F" w:rsidRPr="00355AB1" w:rsidRDefault="0014586F" w:rsidP="0014586F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>If there is an amount refundable as a result, the entity will receive a refund directly to its bank account.</w:t>
      </w:r>
      <w:bookmarkStart w:id="0" w:name="_GoBack"/>
      <w:bookmarkEnd w:id="0"/>
    </w:p>
    <w:p w14:paraId="4D14A8E4" w14:textId="5E4DBF5B" w:rsidR="0014586F" w:rsidRPr="00355AB1" w:rsidRDefault="0014586F" w:rsidP="0014586F">
      <w:pPr>
        <w:rPr>
          <w:rFonts w:ascii="Century Gothic" w:hAnsi="Century Gothic"/>
          <w:sz w:val="20"/>
          <w:szCs w:val="20"/>
        </w:rPr>
      </w:pPr>
      <w:proofErr w:type="gramStart"/>
      <w:r w:rsidRPr="00355AB1">
        <w:rPr>
          <w:rFonts w:ascii="Century Gothic" w:hAnsi="Century Gothic"/>
          <w:sz w:val="20"/>
          <w:szCs w:val="20"/>
        </w:rPr>
        <w:t>Therefore</w:t>
      </w:r>
      <w:proofErr w:type="gramEnd"/>
      <w:r w:rsidRPr="00355AB1">
        <w:rPr>
          <w:rFonts w:ascii="Century Gothic" w:hAnsi="Century Gothic"/>
          <w:sz w:val="20"/>
          <w:szCs w:val="20"/>
        </w:rPr>
        <w:t xml:space="preserve"> the minimum amount an employer will receive is $20,000. The maximum amount will be two times the combined PAYGW on the March and June BAS’s, up to a maximum of $100,000.</w:t>
      </w:r>
    </w:p>
    <w:p w14:paraId="30EFF078" w14:textId="0F57CDF8" w:rsidR="00902376" w:rsidRDefault="0014586F" w:rsidP="0014586F">
      <w:pPr>
        <w:rPr>
          <w:rFonts w:ascii="Century Gothic" w:hAnsi="Century Gothic"/>
          <w:sz w:val="20"/>
          <w:szCs w:val="20"/>
        </w:rPr>
      </w:pPr>
      <w:r w:rsidRPr="00355AB1">
        <w:rPr>
          <w:rFonts w:ascii="Century Gothic" w:hAnsi="Century Gothic"/>
          <w:sz w:val="20"/>
          <w:szCs w:val="20"/>
        </w:rPr>
        <w:t xml:space="preserve">There is no need </w:t>
      </w:r>
      <w:proofErr w:type="gramStart"/>
      <w:r w:rsidRPr="00355AB1">
        <w:rPr>
          <w:rFonts w:ascii="Century Gothic" w:hAnsi="Century Gothic"/>
          <w:sz w:val="20"/>
          <w:szCs w:val="20"/>
        </w:rPr>
        <w:t>to specifically apply</w:t>
      </w:r>
      <w:proofErr w:type="gramEnd"/>
      <w:r w:rsidRPr="00355AB1">
        <w:rPr>
          <w:rFonts w:ascii="Century Gothic" w:hAnsi="Century Gothic"/>
          <w:sz w:val="20"/>
          <w:szCs w:val="20"/>
        </w:rPr>
        <w:t xml:space="preserve"> for the relief. It will automatically be applied when </w:t>
      </w:r>
      <w:proofErr w:type="gramStart"/>
      <w:r w:rsidRPr="00355AB1">
        <w:rPr>
          <w:rFonts w:ascii="Century Gothic" w:hAnsi="Century Gothic"/>
          <w:sz w:val="20"/>
          <w:szCs w:val="20"/>
        </w:rPr>
        <w:t>the March, June and September activity statements are lodged by employers (assuming quarterly lodgement cycle)</w:t>
      </w:r>
      <w:proofErr w:type="gramEnd"/>
      <w:r w:rsidRPr="00355AB1">
        <w:rPr>
          <w:rFonts w:ascii="Century Gothic" w:hAnsi="Century Gothic"/>
          <w:sz w:val="20"/>
          <w:szCs w:val="20"/>
        </w:rPr>
        <w:t>.</w:t>
      </w:r>
    </w:p>
    <w:p w14:paraId="36855E5D" w14:textId="3581E343" w:rsidR="00355AB1" w:rsidRDefault="00355AB1" w:rsidP="0014586F">
      <w:pPr>
        <w:rPr>
          <w:rFonts w:ascii="Century Gothic" w:hAnsi="Century Gothic"/>
          <w:sz w:val="20"/>
          <w:szCs w:val="20"/>
        </w:rPr>
      </w:pPr>
    </w:p>
    <w:p w14:paraId="70B4280C" w14:textId="4BF37ED5" w:rsidR="00355AB1" w:rsidRPr="00355AB1" w:rsidRDefault="00355AB1" w:rsidP="001458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Peter Schirmer</w:t>
      </w:r>
      <w:r>
        <w:rPr>
          <w:rFonts w:ascii="Century Gothic" w:hAnsi="Century Gothic"/>
          <w:sz w:val="20"/>
          <w:szCs w:val="20"/>
        </w:rPr>
        <w:br/>
        <w:t xml:space="preserve">Executive Officer of the Church </w:t>
      </w:r>
    </w:p>
    <w:sectPr w:rsidR="00355AB1" w:rsidRPr="00355AB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F41A" w14:textId="77777777" w:rsidR="00AA09C3" w:rsidRDefault="00AA09C3" w:rsidP="008C0665">
      <w:pPr>
        <w:spacing w:after="0" w:line="240" w:lineRule="auto"/>
      </w:pPr>
      <w:r>
        <w:separator/>
      </w:r>
    </w:p>
  </w:endnote>
  <w:endnote w:type="continuationSeparator" w:id="0">
    <w:p w14:paraId="63211688" w14:textId="77777777" w:rsidR="00AA09C3" w:rsidRDefault="00AA09C3" w:rsidP="008C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C2197" w14:textId="77777777" w:rsidR="00AA09C3" w:rsidRDefault="00AA09C3" w:rsidP="008C0665">
      <w:pPr>
        <w:spacing w:after="0" w:line="240" w:lineRule="auto"/>
      </w:pPr>
      <w:r>
        <w:separator/>
      </w:r>
    </w:p>
  </w:footnote>
  <w:footnote w:type="continuationSeparator" w:id="0">
    <w:p w14:paraId="64FD00C7" w14:textId="77777777" w:rsidR="00AA09C3" w:rsidRDefault="00AA09C3" w:rsidP="008C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21ED" w14:textId="77777777" w:rsidR="008C0665" w:rsidRPr="008C0665" w:rsidRDefault="008C0665">
    <w:pPr>
      <w:pStyle w:val="Head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763"/>
    <w:multiLevelType w:val="hybridMultilevel"/>
    <w:tmpl w:val="243C7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70D5"/>
    <w:multiLevelType w:val="hybridMultilevel"/>
    <w:tmpl w:val="BA8AC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BDB"/>
    <w:multiLevelType w:val="hybridMultilevel"/>
    <w:tmpl w:val="8536D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61C9"/>
    <w:multiLevelType w:val="hybridMultilevel"/>
    <w:tmpl w:val="87D69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B2"/>
    <w:rsid w:val="000E351A"/>
    <w:rsid w:val="0014586F"/>
    <w:rsid w:val="001F29D2"/>
    <w:rsid w:val="00355AB1"/>
    <w:rsid w:val="005C26F4"/>
    <w:rsid w:val="00684BC5"/>
    <w:rsid w:val="0079234F"/>
    <w:rsid w:val="008105D4"/>
    <w:rsid w:val="008C0665"/>
    <w:rsid w:val="00902376"/>
    <w:rsid w:val="00A66652"/>
    <w:rsid w:val="00AA09C3"/>
    <w:rsid w:val="00C96049"/>
    <w:rsid w:val="00CB38B2"/>
    <w:rsid w:val="00DA0B5F"/>
    <w:rsid w:val="00D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22D8"/>
  <w15:chartTrackingRefBased/>
  <w15:docId w15:val="{D26DCCE7-9534-4F7A-B04C-E69E235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65"/>
  </w:style>
  <w:style w:type="paragraph" w:styleId="Footer">
    <w:name w:val="footer"/>
    <w:basedOn w:val="Normal"/>
    <w:link w:val="FooterChar"/>
    <w:uiPriority w:val="99"/>
    <w:unhideWhenUsed/>
    <w:rsid w:val="008C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65"/>
  </w:style>
  <w:style w:type="character" w:styleId="Hyperlink">
    <w:name w:val="Hyperlink"/>
    <w:basedOn w:val="DefaultParagraphFont"/>
    <w:uiPriority w:val="99"/>
    <w:unhideWhenUsed/>
    <w:rsid w:val="00145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siness.gov.au/Risk-management/Emergency-management/Coronavirus-information-and-support-for-business/Boosting-cash-flow-for-employer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557E5A2D8F94C8248920209608372" ma:contentTypeVersion="9" ma:contentTypeDescription="Create a new document." ma:contentTypeScope="" ma:versionID="c03241d1aebfb64cbb7261e42dd1c607">
  <xsd:schema xmlns:xsd="http://www.w3.org/2001/XMLSchema" xmlns:xs="http://www.w3.org/2001/XMLSchema" xmlns:p="http://schemas.microsoft.com/office/2006/metadata/properties" xmlns:ns3="962c8dea-4844-48f1-a694-9f7241c966cc" targetNamespace="http://schemas.microsoft.com/office/2006/metadata/properties" ma:root="true" ma:fieldsID="dec481b1f76d937544983892eb8e166d" ns3:_="">
    <xsd:import namespace="962c8dea-4844-48f1-a694-9f7241c96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8dea-4844-48f1-a694-9f7241c96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77C75-865E-4627-94A2-DD591CAD3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75827-A4D5-4116-B435-5D65CEA78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4D44D-92FC-4783-B4EC-F196156C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c8dea-4844-48f1-a694-9f7241c96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Sofoclis, Mary</dc:creator>
  <cp:keywords/>
  <dc:description/>
  <cp:lastModifiedBy>Macqueen, Linda</cp:lastModifiedBy>
  <cp:revision>4</cp:revision>
  <dcterms:created xsi:type="dcterms:W3CDTF">2020-03-30T05:06:00Z</dcterms:created>
  <dcterms:modified xsi:type="dcterms:W3CDTF">2020-03-30T23:45:00Z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0x0101009F5557E5A2D8F94C8248920209608372</vt:lpwstr>
  </property>
</Properties>
</file>