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BB3F" w14:textId="77777777" w:rsidR="0088496B" w:rsidRDefault="0088496B" w:rsidP="0088496B">
      <w:pPr>
        <w:tabs>
          <w:tab w:val="left" w:pos="2395"/>
        </w:tabs>
        <w:spacing w:before="60" w:after="0" w:line="240" w:lineRule="auto"/>
        <w:rPr>
          <w:rFonts w:ascii="Arial" w:hAnsi="Arial" w:cs="Arial"/>
          <w:b/>
        </w:rPr>
      </w:pPr>
    </w:p>
    <w:p w14:paraId="15ABBB40" w14:textId="77777777" w:rsidR="0088496B" w:rsidRPr="00E25B9D" w:rsidRDefault="0088496B" w:rsidP="0088496B">
      <w:pPr>
        <w:tabs>
          <w:tab w:val="left" w:pos="2395"/>
        </w:tabs>
        <w:spacing w:before="60" w:after="0" w:line="240" w:lineRule="auto"/>
        <w:rPr>
          <w:rFonts w:ascii="Arial" w:hAnsi="Arial" w:cs="Arial"/>
          <w:b/>
        </w:rPr>
      </w:pPr>
      <w:r w:rsidRPr="00E25B9D">
        <w:rPr>
          <w:rFonts w:ascii="Arial" w:hAnsi="Arial" w:cs="Arial"/>
          <w:b/>
        </w:rPr>
        <w:t>Guideline to Submission</w:t>
      </w:r>
      <w:r>
        <w:rPr>
          <w:rFonts w:ascii="Arial" w:hAnsi="Arial" w:cs="Arial"/>
          <w:b/>
        </w:rPr>
        <w:t xml:space="preserve"> of Application for New Borrowing Limit</w:t>
      </w:r>
      <w:r w:rsidRPr="00E25B9D">
        <w:rPr>
          <w:rFonts w:ascii="Arial" w:hAnsi="Arial" w:cs="Arial"/>
          <w:b/>
        </w:rPr>
        <w:t>.</w:t>
      </w:r>
    </w:p>
    <w:p w14:paraId="15ABBB41" w14:textId="77777777" w:rsidR="0088496B" w:rsidRPr="00E25B9D" w:rsidRDefault="0088496B" w:rsidP="0088496B">
      <w:pPr>
        <w:tabs>
          <w:tab w:val="left" w:pos="2395"/>
        </w:tabs>
        <w:spacing w:before="60" w:after="0" w:line="240" w:lineRule="auto"/>
        <w:rPr>
          <w:rFonts w:ascii="Arial" w:hAnsi="Arial" w:cs="Arial"/>
        </w:rPr>
      </w:pPr>
      <w:r w:rsidRPr="00E25B9D">
        <w:rPr>
          <w:rFonts w:ascii="Arial" w:hAnsi="Arial" w:cs="Arial"/>
        </w:rPr>
        <w:t xml:space="preserve">Persons or organisations intending to submit an application to District Church Council for approval </w:t>
      </w:r>
      <w:r>
        <w:rPr>
          <w:rFonts w:ascii="Arial" w:hAnsi="Arial" w:cs="Arial"/>
        </w:rPr>
        <w:t>setting a Borrowing Limit</w:t>
      </w:r>
      <w:r w:rsidRPr="00E25B9D">
        <w:rPr>
          <w:rFonts w:ascii="Arial" w:hAnsi="Arial" w:cs="Arial"/>
        </w:rPr>
        <w:t xml:space="preserve"> are to provide supporting information and follow the protocols and guidelines as detailed below.</w:t>
      </w:r>
    </w:p>
    <w:p w14:paraId="15ABBB42" w14:textId="77777777" w:rsidR="0088496B" w:rsidRPr="00E25B9D" w:rsidRDefault="0088496B" w:rsidP="0088496B">
      <w:pPr>
        <w:tabs>
          <w:tab w:val="left" w:pos="2395"/>
        </w:tabs>
        <w:spacing w:before="60" w:after="0" w:line="240" w:lineRule="auto"/>
        <w:rPr>
          <w:rFonts w:ascii="Arial" w:hAnsi="Arial" w:cs="Arial"/>
        </w:rPr>
      </w:pPr>
      <w:r w:rsidRPr="00E25B9D">
        <w:rPr>
          <w:rFonts w:ascii="Arial" w:hAnsi="Arial" w:cs="Arial"/>
        </w:rPr>
        <w:t xml:space="preserve">A New Borrowing </w:t>
      </w:r>
      <w:r>
        <w:rPr>
          <w:rFonts w:ascii="Arial" w:hAnsi="Arial" w:cs="Arial"/>
        </w:rPr>
        <w:t xml:space="preserve">Limit </w:t>
      </w:r>
      <w:r w:rsidRPr="00E25B9D">
        <w:rPr>
          <w:rFonts w:ascii="Arial" w:hAnsi="Arial" w:cs="Arial"/>
        </w:rPr>
        <w:t>Decision Required Template is to be completed.</w:t>
      </w:r>
    </w:p>
    <w:p w14:paraId="15ABBB43" w14:textId="77777777" w:rsidR="0088496B" w:rsidRPr="00E25B9D" w:rsidRDefault="0088496B" w:rsidP="0088496B">
      <w:pPr>
        <w:tabs>
          <w:tab w:val="left" w:pos="2395"/>
        </w:tabs>
        <w:spacing w:before="60" w:after="0" w:line="240" w:lineRule="auto"/>
        <w:rPr>
          <w:rFonts w:ascii="Arial" w:hAnsi="Arial" w:cs="Arial"/>
        </w:rPr>
      </w:pPr>
      <w:r w:rsidRPr="00E25B9D">
        <w:rPr>
          <w:rFonts w:ascii="Arial" w:hAnsi="Arial" w:cs="Arial"/>
        </w:rPr>
        <w:t xml:space="preserve">A New Borrowing </w:t>
      </w:r>
      <w:r>
        <w:rPr>
          <w:rFonts w:ascii="Arial" w:hAnsi="Arial" w:cs="Arial"/>
        </w:rPr>
        <w:t xml:space="preserve">Limit </w:t>
      </w:r>
      <w:r w:rsidRPr="00E25B9D">
        <w:rPr>
          <w:rFonts w:ascii="Arial" w:hAnsi="Arial" w:cs="Arial"/>
        </w:rPr>
        <w:t>Covering Memo is to be completed.</w:t>
      </w:r>
    </w:p>
    <w:p w14:paraId="15ABBB44" w14:textId="77777777" w:rsidR="0088496B" w:rsidRPr="00E25B9D" w:rsidRDefault="0088496B" w:rsidP="0088496B">
      <w:pPr>
        <w:tabs>
          <w:tab w:val="left" w:pos="2395"/>
        </w:tabs>
        <w:spacing w:before="60" w:after="0" w:line="240" w:lineRule="auto"/>
        <w:rPr>
          <w:rFonts w:ascii="Arial" w:hAnsi="Arial" w:cs="Arial"/>
        </w:rPr>
      </w:pPr>
      <w:r w:rsidRPr="00E25B9D">
        <w:rPr>
          <w:rFonts w:ascii="Arial" w:hAnsi="Arial" w:cs="Arial"/>
        </w:rPr>
        <w:t xml:space="preserve">Supporting </w:t>
      </w:r>
      <w:r>
        <w:rPr>
          <w:rFonts w:ascii="Arial" w:hAnsi="Arial" w:cs="Arial"/>
        </w:rPr>
        <w:t>Borrowing Limit</w:t>
      </w:r>
      <w:r w:rsidRPr="00E25B9D">
        <w:rPr>
          <w:rFonts w:ascii="Arial" w:hAnsi="Arial" w:cs="Arial"/>
        </w:rPr>
        <w:t xml:space="preserve"> application forms and other supporting information is to be provided. </w:t>
      </w:r>
    </w:p>
    <w:p w14:paraId="15ABBB45" w14:textId="77777777" w:rsidR="008565ED" w:rsidRDefault="008565ED"/>
    <w:p w14:paraId="15ABBB46" w14:textId="77777777" w:rsidR="00264C8F" w:rsidRPr="00C612DB" w:rsidRDefault="001B324B">
      <w:pPr>
        <w:rPr>
          <w:rFonts w:ascii="Arial" w:hAnsi="Arial" w:cs="Arial"/>
          <w:b/>
          <w:u w:val="single"/>
        </w:rPr>
      </w:pPr>
      <w:r w:rsidRPr="00C612DB">
        <w:rPr>
          <w:rFonts w:ascii="Arial" w:hAnsi="Arial" w:cs="Arial"/>
          <w:b/>
          <w:u w:val="single"/>
        </w:rPr>
        <w:t>Supporting Information</w:t>
      </w:r>
    </w:p>
    <w:p w14:paraId="15ABBB47" w14:textId="77777777" w:rsidR="006E1280" w:rsidRDefault="006E1280">
      <w:pPr>
        <w:rPr>
          <w:rFonts w:ascii="Arial" w:hAnsi="Arial" w:cs="Arial"/>
        </w:rPr>
      </w:pPr>
      <w:r w:rsidRPr="006E1280">
        <w:rPr>
          <w:rFonts w:ascii="Arial" w:hAnsi="Arial" w:cs="Arial"/>
        </w:rPr>
        <w:t>Information supporting the application is to be attach</w:t>
      </w:r>
      <w:r w:rsidR="006761C5">
        <w:rPr>
          <w:rFonts w:ascii="Arial" w:hAnsi="Arial" w:cs="Arial"/>
        </w:rPr>
        <w:t>ed to this template in a .pdf format</w:t>
      </w:r>
    </w:p>
    <w:p w14:paraId="15ABBB48" w14:textId="77777777" w:rsidR="008565ED" w:rsidRPr="00C612DB" w:rsidRDefault="008565ED">
      <w:pPr>
        <w:rPr>
          <w:rFonts w:ascii="Arial" w:hAnsi="Arial" w:cs="Arial"/>
        </w:rPr>
      </w:pPr>
      <w:r w:rsidRPr="00C612DB">
        <w:rPr>
          <w:rFonts w:ascii="Arial" w:hAnsi="Arial" w:cs="Arial"/>
        </w:rPr>
        <w:t>This may include</w:t>
      </w:r>
      <w:r w:rsidR="00C612DB">
        <w:rPr>
          <w:rFonts w:ascii="Arial" w:hAnsi="Arial" w:cs="Arial"/>
        </w:rPr>
        <w:t xml:space="preserve"> one or more of the following</w:t>
      </w:r>
      <w:r w:rsidRPr="00C612DB">
        <w:rPr>
          <w:rFonts w:ascii="Arial" w:hAnsi="Arial" w:cs="Arial"/>
        </w:rPr>
        <w:t>:</w:t>
      </w:r>
    </w:p>
    <w:p w14:paraId="15ABBB49" w14:textId="77777777" w:rsidR="008565ED" w:rsidRPr="00C612DB" w:rsidRDefault="008565ED" w:rsidP="008565ED">
      <w:pPr>
        <w:pStyle w:val="ListParagraph"/>
        <w:numPr>
          <w:ilvl w:val="0"/>
          <w:numId w:val="8"/>
        </w:numPr>
        <w:rPr>
          <w:rFonts w:ascii="Arial" w:hAnsi="Arial" w:cs="Arial"/>
        </w:rPr>
      </w:pPr>
      <w:r w:rsidRPr="00C612DB">
        <w:rPr>
          <w:rFonts w:ascii="Arial" w:hAnsi="Arial" w:cs="Arial"/>
        </w:rPr>
        <w:t xml:space="preserve">Supporting </w:t>
      </w:r>
      <w:r w:rsidR="00942ED8" w:rsidRPr="00C612DB">
        <w:rPr>
          <w:rFonts w:ascii="Arial" w:hAnsi="Arial" w:cs="Arial"/>
        </w:rPr>
        <w:t xml:space="preserve">signed </w:t>
      </w:r>
      <w:r w:rsidRPr="00C612DB">
        <w:rPr>
          <w:rFonts w:ascii="Arial" w:hAnsi="Arial" w:cs="Arial"/>
        </w:rPr>
        <w:t>memo including:</w:t>
      </w:r>
    </w:p>
    <w:p w14:paraId="15ABBB4A"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Background discussion</w:t>
      </w:r>
    </w:p>
    <w:p w14:paraId="15ABBB4B"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Key issues</w:t>
      </w:r>
    </w:p>
    <w:p w14:paraId="15ABBB4C" w14:textId="77777777" w:rsidR="008565ED" w:rsidRDefault="008565ED" w:rsidP="008565ED">
      <w:pPr>
        <w:pStyle w:val="ListParagraph"/>
        <w:numPr>
          <w:ilvl w:val="1"/>
          <w:numId w:val="8"/>
        </w:numPr>
        <w:rPr>
          <w:rFonts w:ascii="Arial" w:hAnsi="Arial" w:cs="Arial"/>
        </w:rPr>
      </w:pPr>
      <w:r w:rsidRPr="00C612DB">
        <w:rPr>
          <w:rFonts w:ascii="Arial" w:hAnsi="Arial" w:cs="Arial"/>
        </w:rPr>
        <w:t xml:space="preserve">Discussion of </w:t>
      </w:r>
      <w:r w:rsidR="00C612DB">
        <w:rPr>
          <w:rFonts w:ascii="Arial" w:hAnsi="Arial" w:cs="Arial"/>
        </w:rPr>
        <w:t>O</w:t>
      </w:r>
      <w:r w:rsidRPr="00C612DB">
        <w:rPr>
          <w:rFonts w:ascii="Arial" w:hAnsi="Arial" w:cs="Arial"/>
        </w:rPr>
        <w:t xml:space="preserve">ptions (the implications associated with the </w:t>
      </w:r>
      <w:r w:rsidR="006761C5">
        <w:rPr>
          <w:rFonts w:ascii="Arial" w:hAnsi="Arial" w:cs="Arial"/>
        </w:rPr>
        <w:t>‘</w:t>
      </w:r>
      <w:r w:rsidRPr="00C612DB">
        <w:rPr>
          <w:rFonts w:ascii="Arial" w:hAnsi="Arial" w:cs="Arial"/>
        </w:rPr>
        <w:t>Do Nothing</w:t>
      </w:r>
      <w:r w:rsidR="006761C5">
        <w:rPr>
          <w:rFonts w:ascii="Arial" w:hAnsi="Arial" w:cs="Arial"/>
        </w:rPr>
        <w:t>’</w:t>
      </w:r>
      <w:r w:rsidRPr="00C612DB">
        <w:rPr>
          <w:rFonts w:ascii="Arial" w:hAnsi="Arial" w:cs="Arial"/>
        </w:rPr>
        <w:t xml:space="preserve"> Option should </w:t>
      </w:r>
      <w:r w:rsidR="005C51E0">
        <w:rPr>
          <w:rFonts w:ascii="Arial" w:hAnsi="Arial" w:cs="Arial"/>
        </w:rPr>
        <w:t>be</w:t>
      </w:r>
      <w:r w:rsidRPr="00C612DB">
        <w:rPr>
          <w:rFonts w:ascii="Arial" w:hAnsi="Arial" w:cs="Arial"/>
        </w:rPr>
        <w:t xml:space="preserve"> described)</w:t>
      </w:r>
    </w:p>
    <w:p w14:paraId="15ABBB4D" w14:textId="77777777" w:rsidR="00C612DB" w:rsidRPr="00C612DB" w:rsidRDefault="00C612DB" w:rsidP="008565ED">
      <w:pPr>
        <w:pStyle w:val="ListParagraph"/>
        <w:numPr>
          <w:ilvl w:val="1"/>
          <w:numId w:val="8"/>
        </w:numPr>
        <w:rPr>
          <w:rFonts w:ascii="Arial" w:hAnsi="Arial" w:cs="Arial"/>
        </w:rPr>
      </w:pPr>
      <w:r>
        <w:rPr>
          <w:rFonts w:ascii="Arial" w:hAnsi="Arial" w:cs="Arial"/>
        </w:rPr>
        <w:t>Resolution numbers and details of resolutions passed as the proposal has proceeded</w:t>
      </w:r>
    </w:p>
    <w:p w14:paraId="15ABBB4E" w14:textId="77777777" w:rsidR="008565ED" w:rsidRDefault="00942ED8" w:rsidP="008565ED">
      <w:pPr>
        <w:pStyle w:val="ListParagraph"/>
        <w:numPr>
          <w:ilvl w:val="0"/>
          <w:numId w:val="8"/>
        </w:numPr>
        <w:rPr>
          <w:rFonts w:ascii="Arial" w:hAnsi="Arial" w:cs="Arial"/>
        </w:rPr>
      </w:pPr>
      <w:r w:rsidRPr="00C612DB">
        <w:rPr>
          <w:rFonts w:ascii="Arial" w:hAnsi="Arial" w:cs="Arial"/>
        </w:rPr>
        <w:t>Independent loan or borrowing limit reports</w:t>
      </w:r>
    </w:p>
    <w:p w14:paraId="15ABBB4F" w14:textId="77777777" w:rsidR="00C612DB" w:rsidRPr="00C612DB" w:rsidRDefault="00C612DB" w:rsidP="008565ED">
      <w:pPr>
        <w:pStyle w:val="ListParagraph"/>
        <w:numPr>
          <w:ilvl w:val="0"/>
          <w:numId w:val="8"/>
        </w:numPr>
        <w:rPr>
          <w:rFonts w:ascii="Arial" w:hAnsi="Arial" w:cs="Arial"/>
        </w:rPr>
      </w:pPr>
      <w:r>
        <w:rPr>
          <w:rFonts w:ascii="Arial" w:hAnsi="Arial" w:cs="Arial"/>
        </w:rPr>
        <w:t>Other information relevant to supporting the application</w:t>
      </w:r>
    </w:p>
    <w:p w14:paraId="15ABBB50" w14:textId="77777777" w:rsidR="00942ED8" w:rsidRDefault="00942ED8" w:rsidP="00942ED8">
      <w:pPr>
        <w:pStyle w:val="ListParagraph"/>
        <w:rPr>
          <w:rFonts w:ascii="Arial" w:hAnsi="Arial" w:cs="Arial"/>
        </w:rPr>
      </w:pPr>
    </w:p>
    <w:p w14:paraId="15ABBB51" w14:textId="77777777" w:rsidR="008E2D6E" w:rsidRPr="008E2D6E" w:rsidRDefault="008E2D6E" w:rsidP="008E2D6E">
      <w:pPr>
        <w:contextualSpacing/>
        <w:rPr>
          <w:rFonts w:ascii="Arial" w:hAnsi="Arial" w:cs="Arial"/>
          <w:b/>
          <w:u w:val="single"/>
        </w:rPr>
      </w:pPr>
      <w:r w:rsidRPr="008E2D6E">
        <w:rPr>
          <w:rFonts w:ascii="Arial" w:hAnsi="Arial" w:cs="Arial"/>
          <w:b/>
          <w:u w:val="single"/>
        </w:rPr>
        <w:t>Protocol and Guidelines</w:t>
      </w:r>
    </w:p>
    <w:p w14:paraId="15ABBB52" w14:textId="77777777" w:rsidR="008E2D6E" w:rsidRPr="008E2D6E" w:rsidRDefault="008E2D6E" w:rsidP="008E2D6E">
      <w:pPr>
        <w:ind w:left="720"/>
        <w:contextualSpacing/>
        <w:rPr>
          <w:rFonts w:ascii="Arial" w:hAnsi="Arial" w:cs="Arial"/>
        </w:rPr>
      </w:pPr>
    </w:p>
    <w:p w14:paraId="15ABBB53" w14:textId="77777777" w:rsidR="008E2D6E" w:rsidRPr="008E2D6E" w:rsidRDefault="008E2D6E" w:rsidP="008E2D6E">
      <w:pPr>
        <w:contextualSpacing/>
        <w:rPr>
          <w:rFonts w:ascii="Arial" w:hAnsi="Arial" w:cs="Arial"/>
        </w:rPr>
      </w:pPr>
      <w:r w:rsidRPr="008E2D6E">
        <w:rPr>
          <w:rFonts w:ascii="Arial" w:hAnsi="Arial" w:cs="Arial"/>
        </w:rPr>
        <w:t>Use of Template</w:t>
      </w:r>
    </w:p>
    <w:p w14:paraId="15ABBB54" w14:textId="77777777" w:rsidR="008E2D6E" w:rsidRPr="008E2D6E" w:rsidRDefault="008E2D6E" w:rsidP="008E2D6E">
      <w:pPr>
        <w:contextualSpacing/>
        <w:rPr>
          <w:rFonts w:ascii="Arial" w:hAnsi="Arial" w:cs="Arial"/>
        </w:rPr>
      </w:pPr>
      <w:r w:rsidRPr="008E2D6E">
        <w:rPr>
          <w:rFonts w:ascii="Arial" w:hAnsi="Arial" w:cs="Arial"/>
        </w:rPr>
        <w:t>This template is only to be used for</w:t>
      </w:r>
      <w:r w:rsidR="00D010D9">
        <w:rPr>
          <w:rFonts w:ascii="Arial" w:hAnsi="Arial" w:cs="Arial"/>
        </w:rPr>
        <w:t xml:space="preserve"> applications for new borrowing limits</w:t>
      </w:r>
      <w:r w:rsidRPr="008E2D6E">
        <w:rPr>
          <w:rFonts w:ascii="Arial" w:hAnsi="Arial" w:cs="Arial"/>
        </w:rPr>
        <w:t>.</w:t>
      </w:r>
    </w:p>
    <w:p w14:paraId="15ABBB55" w14:textId="77777777" w:rsidR="008E2D6E" w:rsidRPr="008E2D6E" w:rsidRDefault="008E2D6E" w:rsidP="008E2D6E">
      <w:pPr>
        <w:contextualSpacing/>
        <w:rPr>
          <w:rFonts w:ascii="Arial" w:hAnsi="Arial" w:cs="Arial"/>
        </w:rPr>
      </w:pPr>
      <w:r w:rsidRPr="008E2D6E">
        <w:rPr>
          <w:rFonts w:ascii="Arial" w:hAnsi="Arial" w:cs="Arial"/>
        </w:rPr>
        <w:t>The template is to be used by all Departments, Parishes and Congregations</w:t>
      </w:r>
    </w:p>
    <w:p w14:paraId="15ABBB56" w14:textId="77777777" w:rsidR="008E2D6E" w:rsidRPr="008E2D6E" w:rsidRDefault="008E2D6E" w:rsidP="008E2D6E">
      <w:pPr>
        <w:contextualSpacing/>
        <w:rPr>
          <w:rFonts w:ascii="Arial" w:hAnsi="Arial" w:cs="Arial"/>
        </w:rPr>
      </w:pPr>
    </w:p>
    <w:p w14:paraId="15ABBB57" w14:textId="77777777" w:rsidR="008E2D6E" w:rsidRPr="008E2D6E" w:rsidRDefault="008E2D6E" w:rsidP="008E2D6E">
      <w:pPr>
        <w:contextualSpacing/>
        <w:rPr>
          <w:rFonts w:ascii="Arial" w:hAnsi="Arial" w:cs="Arial"/>
        </w:rPr>
      </w:pPr>
      <w:r w:rsidRPr="008E2D6E">
        <w:rPr>
          <w:rFonts w:ascii="Arial" w:hAnsi="Arial" w:cs="Arial"/>
        </w:rPr>
        <w:t>Submission</w:t>
      </w:r>
    </w:p>
    <w:p w14:paraId="15ABBB58" w14:textId="5581018D" w:rsidR="008E2D6E" w:rsidRPr="008E2D6E" w:rsidRDefault="008E2D6E" w:rsidP="008E2D6E">
      <w:pPr>
        <w:contextualSpacing/>
        <w:rPr>
          <w:rFonts w:ascii="Arial" w:hAnsi="Arial" w:cs="Arial"/>
        </w:rPr>
      </w:pPr>
      <w:r w:rsidRPr="008E2D6E">
        <w:rPr>
          <w:rFonts w:ascii="Arial" w:hAnsi="Arial" w:cs="Arial"/>
        </w:rPr>
        <w:t xml:space="preserve">The completed template and all supporting documentation is to be submitted in .pdf format to the Secretary </w:t>
      </w:r>
      <w:r w:rsidR="007111FA">
        <w:rPr>
          <w:rFonts w:ascii="Arial" w:hAnsi="Arial" w:cs="Arial"/>
        </w:rPr>
        <w:t>District Church Council</w:t>
      </w:r>
      <w:r w:rsidRPr="008E2D6E">
        <w:rPr>
          <w:rFonts w:ascii="Arial" w:hAnsi="Arial" w:cs="Arial"/>
        </w:rPr>
        <w:t xml:space="preserve"> </w:t>
      </w:r>
      <w:r w:rsidR="007111FA">
        <w:rPr>
          <w:rFonts w:ascii="Arial" w:hAnsi="Arial" w:cs="Arial"/>
        </w:rPr>
        <w:t xml:space="preserve">(DCC) </w:t>
      </w:r>
      <w:r w:rsidRPr="008E2D6E">
        <w:rPr>
          <w:rFonts w:ascii="Arial" w:hAnsi="Arial" w:cs="Arial"/>
        </w:rPr>
        <w:t xml:space="preserve">via email to </w:t>
      </w:r>
      <w:hyperlink r:id="rId11" w:history="1">
        <w:r w:rsidR="007111FA" w:rsidRPr="008A47DF">
          <w:rPr>
            <w:rStyle w:val="Hyperlink"/>
            <w:rFonts w:ascii="Arial" w:hAnsi="Arial" w:cs="Arial"/>
          </w:rPr>
          <w:t>SecretaryDCC@qld.lca.org.au</w:t>
        </w:r>
      </w:hyperlink>
      <w:r w:rsidRPr="008E2D6E">
        <w:rPr>
          <w:rFonts w:ascii="Arial" w:hAnsi="Arial" w:cs="Arial"/>
        </w:rPr>
        <w:t xml:space="preserve">  The Subject line in the email is to include “New </w:t>
      </w:r>
      <w:r w:rsidR="00D010D9">
        <w:rPr>
          <w:rFonts w:ascii="Arial" w:hAnsi="Arial" w:cs="Arial"/>
        </w:rPr>
        <w:t xml:space="preserve">Borrowing Limit </w:t>
      </w:r>
      <w:r w:rsidRPr="008E2D6E">
        <w:rPr>
          <w:rFonts w:ascii="Arial" w:hAnsi="Arial" w:cs="Arial"/>
        </w:rPr>
        <w:t>Application”</w:t>
      </w:r>
    </w:p>
    <w:p w14:paraId="15ABBB59" w14:textId="77777777" w:rsidR="008E2D6E" w:rsidRPr="008E2D6E" w:rsidRDefault="008E2D6E" w:rsidP="008E2D6E">
      <w:pPr>
        <w:contextualSpacing/>
        <w:rPr>
          <w:rFonts w:ascii="Arial" w:hAnsi="Arial" w:cs="Arial"/>
        </w:rPr>
      </w:pPr>
    </w:p>
    <w:p w14:paraId="15ABBB5A" w14:textId="77777777" w:rsidR="008E2D6E" w:rsidRPr="008E2D6E" w:rsidRDefault="008E2D6E" w:rsidP="006761C5">
      <w:pPr>
        <w:tabs>
          <w:tab w:val="left" w:pos="2910"/>
        </w:tabs>
        <w:contextualSpacing/>
        <w:rPr>
          <w:rFonts w:ascii="Arial" w:hAnsi="Arial" w:cs="Arial"/>
        </w:rPr>
      </w:pPr>
      <w:r w:rsidRPr="008E2D6E">
        <w:rPr>
          <w:rFonts w:ascii="Arial" w:hAnsi="Arial" w:cs="Arial"/>
        </w:rPr>
        <w:t>Submission Deadlines</w:t>
      </w:r>
      <w:r w:rsidR="006761C5">
        <w:rPr>
          <w:rFonts w:ascii="Arial" w:hAnsi="Arial" w:cs="Arial"/>
        </w:rPr>
        <w:tab/>
      </w:r>
    </w:p>
    <w:p w14:paraId="15ABBB5B" w14:textId="405AB2C1" w:rsidR="008E2D6E" w:rsidRPr="008E2D6E" w:rsidRDefault="008E2D6E" w:rsidP="008E2D6E">
      <w:pPr>
        <w:contextualSpacing/>
        <w:rPr>
          <w:rFonts w:ascii="Arial" w:hAnsi="Arial" w:cs="Arial"/>
        </w:rPr>
      </w:pPr>
      <w:r w:rsidRPr="008E2D6E">
        <w:rPr>
          <w:rFonts w:ascii="Arial" w:hAnsi="Arial" w:cs="Arial"/>
        </w:rPr>
        <w:t xml:space="preserve">The </w:t>
      </w:r>
      <w:r w:rsidR="007111FA">
        <w:rPr>
          <w:rFonts w:ascii="Arial" w:hAnsi="Arial" w:cs="Arial"/>
        </w:rPr>
        <w:t xml:space="preserve">DCC generally meet the fourth Wednesday of each month.  </w:t>
      </w:r>
      <w:r w:rsidRPr="008E2D6E">
        <w:rPr>
          <w:rFonts w:ascii="Arial" w:hAnsi="Arial" w:cs="Arial"/>
        </w:rPr>
        <w:t xml:space="preserve">Risk Audit and Finance Committee generally </w:t>
      </w:r>
      <w:r w:rsidR="00D010D9" w:rsidRPr="008E2D6E">
        <w:rPr>
          <w:rFonts w:ascii="Arial" w:hAnsi="Arial" w:cs="Arial"/>
        </w:rPr>
        <w:t>meet</w:t>
      </w:r>
      <w:r w:rsidRPr="008E2D6E">
        <w:rPr>
          <w:rFonts w:ascii="Arial" w:hAnsi="Arial" w:cs="Arial"/>
        </w:rPr>
        <w:t xml:space="preserve"> the second Thursday of each month. The deadline for submissions </w:t>
      </w:r>
      <w:r w:rsidRPr="008E2D6E">
        <w:rPr>
          <w:rFonts w:ascii="Arial" w:hAnsi="Arial" w:cs="Arial"/>
        </w:rPr>
        <w:lastRenderedPageBreak/>
        <w:t xml:space="preserve">to the </w:t>
      </w:r>
      <w:r w:rsidR="007111FA">
        <w:rPr>
          <w:rFonts w:ascii="Arial" w:hAnsi="Arial" w:cs="Arial"/>
        </w:rPr>
        <w:t xml:space="preserve">DCC is the third Wednesday of each month, and </w:t>
      </w:r>
      <w:r w:rsidRPr="008E2D6E">
        <w:rPr>
          <w:rFonts w:ascii="Arial" w:hAnsi="Arial" w:cs="Arial"/>
        </w:rPr>
        <w:t>Risk Audit and Finance Committee is midday the first Wednesday of each month.</w:t>
      </w:r>
    </w:p>
    <w:p w14:paraId="15ABBB5C" w14:textId="77777777" w:rsidR="008E2D6E" w:rsidRPr="008E2D6E" w:rsidRDefault="008E2D6E" w:rsidP="008E2D6E">
      <w:pPr>
        <w:contextualSpacing/>
        <w:rPr>
          <w:rFonts w:ascii="Arial" w:hAnsi="Arial" w:cs="Arial"/>
        </w:rPr>
      </w:pPr>
    </w:p>
    <w:p w14:paraId="15ABBB5D" w14:textId="77777777" w:rsidR="008E2D6E" w:rsidRPr="008E2D6E" w:rsidRDefault="008E2D6E" w:rsidP="008E2D6E">
      <w:pPr>
        <w:contextualSpacing/>
        <w:rPr>
          <w:rFonts w:ascii="Arial" w:hAnsi="Arial" w:cs="Arial"/>
        </w:rPr>
      </w:pPr>
      <w:r w:rsidRPr="008E2D6E">
        <w:rPr>
          <w:rFonts w:ascii="Arial" w:hAnsi="Arial" w:cs="Arial"/>
        </w:rPr>
        <w:t>Availability for Presentation</w:t>
      </w:r>
    </w:p>
    <w:p w14:paraId="15ABBB5E" w14:textId="1B3779AC" w:rsidR="008E2D6E" w:rsidRPr="008E2D6E" w:rsidRDefault="008E2D6E" w:rsidP="008E2D6E">
      <w:pPr>
        <w:contextualSpacing/>
        <w:rPr>
          <w:rFonts w:ascii="Arial" w:hAnsi="Arial" w:cs="Arial"/>
        </w:rPr>
      </w:pPr>
      <w:r w:rsidRPr="008E2D6E">
        <w:rPr>
          <w:rFonts w:ascii="Arial" w:hAnsi="Arial" w:cs="Arial"/>
        </w:rPr>
        <w:t xml:space="preserve">Proposers of new loans need to be available to present to the </w:t>
      </w:r>
      <w:r w:rsidR="007111FA">
        <w:rPr>
          <w:rFonts w:ascii="Arial" w:hAnsi="Arial" w:cs="Arial"/>
        </w:rPr>
        <w:t xml:space="preserve">DCC and possibly the </w:t>
      </w:r>
      <w:r w:rsidRPr="008E2D6E">
        <w:rPr>
          <w:rFonts w:ascii="Arial" w:hAnsi="Arial" w:cs="Arial"/>
        </w:rPr>
        <w:t xml:space="preserve">Risk Audit and Finance Committee.  The email must include contract details including name, position, phone no., and email address of who will speak to the proposal if required at the </w:t>
      </w:r>
      <w:r w:rsidR="007111FA">
        <w:rPr>
          <w:rFonts w:ascii="Arial" w:hAnsi="Arial" w:cs="Arial"/>
        </w:rPr>
        <w:t xml:space="preserve">DCC and potentially the </w:t>
      </w:r>
      <w:r w:rsidRPr="008E2D6E">
        <w:rPr>
          <w:rFonts w:ascii="Arial" w:hAnsi="Arial" w:cs="Arial"/>
        </w:rPr>
        <w:t>RAFC</w:t>
      </w:r>
      <w:r w:rsidR="007111FA">
        <w:rPr>
          <w:rFonts w:ascii="Arial" w:hAnsi="Arial" w:cs="Arial"/>
        </w:rPr>
        <w:t xml:space="preserve">. </w:t>
      </w:r>
      <w:r w:rsidRPr="008E2D6E">
        <w:rPr>
          <w:rFonts w:ascii="Arial" w:hAnsi="Arial" w:cs="Arial"/>
        </w:rPr>
        <w:t>In exceptional circumstances the propose</w:t>
      </w:r>
      <w:r w:rsidR="00D010D9">
        <w:rPr>
          <w:rFonts w:ascii="Arial" w:hAnsi="Arial" w:cs="Arial"/>
        </w:rPr>
        <w:t>r</w:t>
      </w:r>
      <w:r w:rsidRPr="008E2D6E">
        <w:rPr>
          <w:rFonts w:ascii="Arial" w:hAnsi="Arial" w:cs="Arial"/>
        </w:rPr>
        <w:t xml:space="preserve"> may be able to speak to the proposal via telephone link.</w:t>
      </w:r>
    </w:p>
    <w:p w14:paraId="15ABBB5F" w14:textId="77777777" w:rsidR="008E2D6E" w:rsidRDefault="008E2D6E" w:rsidP="008E2D6E">
      <w:pPr>
        <w:contextualSpacing/>
        <w:rPr>
          <w:rFonts w:ascii="Arial" w:hAnsi="Arial" w:cs="Arial"/>
        </w:rPr>
      </w:pPr>
    </w:p>
    <w:p w14:paraId="15ABBB60" w14:textId="77777777" w:rsidR="00D010D9" w:rsidRDefault="00D010D9" w:rsidP="008E2D6E">
      <w:pPr>
        <w:contextualSpacing/>
        <w:rPr>
          <w:rFonts w:ascii="Arial" w:hAnsi="Arial" w:cs="Arial"/>
        </w:rPr>
      </w:pPr>
    </w:p>
    <w:p w14:paraId="15ABBB61" w14:textId="77777777" w:rsidR="00D010D9" w:rsidRDefault="00D010D9" w:rsidP="008E2D6E">
      <w:pPr>
        <w:contextualSpacing/>
        <w:rPr>
          <w:rFonts w:ascii="Arial" w:hAnsi="Arial" w:cs="Arial"/>
        </w:rPr>
      </w:pPr>
    </w:p>
    <w:p w14:paraId="15ABBB62" w14:textId="77777777" w:rsidR="00CE3630" w:rsidRPr="008E2D6E" w:rsidRDefault="00CE3630" w:rsidP="008E2D6E">
      <w:pPr>
        <w:contextualSpacing/>
        <w:rPr>
          <w:rFonts w:ascii="Arial" w:hAnsi="Arial" w:cs="Arial"/>
        </w:rPr>
      </w:pPr>
    </w:p>
    <w:p w14:paraId="15ABBB63" w14:textId="77777777" w:rsidR="008E2D6E" w:rsidRPr="008E2D6E" w:rsidRDefault="008E2D6E" w:rsidP="008E2D6E">
      <w:pPr>
        <w:contextualSpacing/>
        <w:rPr>
          <w:rFonts w:ascii="Arial" w:hAnsi="Arial" w:cs="Arial"/>
        </w:rPr>
      </w:pPr>
      <w:r w:rsidRPr="008E2D6E">
        <w:rPr>
          <w:rFonts w:ascii="Arial" w:hAnsi="Arial" w:cs="Arial"/>
        </w:rPr>
        <w:t>Risk Guidelines</w:t>
      </w:r>
    </w:p>
    <w:p w14:paraId="15ABBB64" w14:textId="77777777" w:rsidR="008E2D6E" w:rsidRPr="008E2D6E" w:rsidRDefault="008E2D6E" w:rsidP="008E2D6E">
      <w:pPr>
        <w:contextualSpacing/>
        <w:rPr>
          <w:rFonts w:ascii="Arial" w:hAnsi="Arial" w:cs="Arial"/>
        </w:rPr>
      </w:pPr>
      <w:r w:rsidRPr="008E2D6E">
        <w:rPr>
          <w:rFonts w:ascii="Arial" w:hAnsi="Arial" w:cs="Arial"/>
        </w:rPr>
        <w:t xml:space="preserve">All </w:t>
      </w:r>
      <w:r w:rsidR="00D010D9">
        <w:rPr>
          <w:rFonts w:ascii="Arial" w:hAnsi="Arial" w:cs="Arial"/>
        </w:rPr>
        <w:t>applications of a borrowing limit</w:t>
      </w:r>
      <w:r w:rsidRPr="008E2D6E">
        <w:rPr>
          <w:rFonts w:ascii="Arial" w:hAnsi="Arial" w:cs="Arial"/>
        </w:rPr>
        <w:t xml:space="preserve"> have some risk</w:t>
      </w:r>
      <w:r w:rsidR="00D010D9">
        <w:rPr>
          <w:rFonts w:ascii="Arial" w:hAnsi="Arial" w:cs="Arial"/>
        </w:rPr>
        <w:t xml:space="preserve"> associated with the setting of the limit</w:t>
      </w:r>
      <w:r w:rsidRPr="008E2D6E">
        <w:rPr>
          <w:rFonts w:ascii="Arial" w:hAnsi="Arial" w:cs="Arial"/>
        </w:rPr>
        <w:t xml:space="preserve">.   It is expected that in describing risks associated with the application; </w:t>
      </w:r>
    </w:p>
    <w:p w14:paraId="15ABBB65" w14:textId="77777777" w:rsidR="008E2D6E" w:rsidRPr="008E2D6E" w:rsidRDefault="008E2D6E" w:rsidP="008E2D6E">
      <w:pPr>
        <w:numPr>
          <w:ilvl w:val="0"/>
          <w:numId w:val="9"/>
        </w:numPr>
        <w:contextualSpacing/>
        <w:rPr>
          <w:rFonts w:ascii="Arial" w:hAnsi="Arial" w:cs="Arial"/>
        </w:rPr>
      </w:pPr>
      <w:r w:rsidRPr="008E2D6E">
        <w:rPr>
          <w:rFonts w:ascii="Arial" w:hAnsi="Arial" w:cs="Arial"/>
        </w:rPr>
        <w:t xml:space="preserve">The risk is to be described; </w:t>
      </w:r>
    </w:p>
    <w:p w14:paraId="15ABBB66" w14:textId="77777777" w:rsidR="008E2D6E" w:rsidRPr="008E2D6E" w:rsidRDefault="008E2D6E" w:rsidP="008E2D6E">
      <w:pPr>
        <w:numPr>
          <w:ilvl w:val="0"/>
          <w:numId w:val="9"/>
        </w:numPr>
        <w:contextualSpacing/>
        <w:rPr>
          <w:rFonts w:ascii="Arial" w:hAnsi="Arial" w:cs="Arial"/>
        </w:rPr>
      </w:pPr>
      <w:r w:rsidRPr="008E2D6E">
        <w:rPr>
          <w:rFonts w:ascii="Arial" w:hAnsi="Arial" w:cs="Arial"/>
        </w:rPr>
        <w:t xml:space="preserve">The Likelihood and Consequence should be described consistent with the terms described in the tables below. </w:t>
      </w:r>
    </w:p>
    <w:p w14:paraId="15ABBB67" w14:textId="77777777" w:rsidR="008E2D6E" w:rsidRPr="008E2D6E" w:rsidRDefault="008E2D6E" w:rsidP="008E2D6E">
      <w:pPr>
        <w:numPr>
          <w:ilvl w:val="0"/>
          <w:numId w:val="9"/>
        </w:numPr>
        <w:contextualSpacing/>
        <w:rPr>
          <w:rFonts w:ascii="Arial" w:hAnsi="Arial" w:cs="Arial"/>
        </w:rPr>
      </w:pPr>
      <w:r w:rsidRPr="008E2D6E">
        <w:rPr>
          <w:rFonts w:ascii="Arial" w:hAnsi="Arial" w:cs="Arial"/>
        </w:rPr>
        <w:t>An overall risk rating is to be assigned consistent with the Risk Matrix below</w:t>
      </w:r>
    </w:p>
    <w:p w14:paraId="15ABBB68" w14:textId="77777777" w:rsidR="008E2D6E" w:rsidRPr="008E2D6E" w:rsidRDefault="008E2D6E" w:rsidP="008E2D6E">
      <w:pPr>
        <w:numPr>
          <w:ilvl w:val="0"/>
          <w:numId w:val="9"/>
        </w:numPr>
        <w:contextualSpacing/>
        <w:rPr>
          <w:rFonts w:ascii="Arial" w:hAnsi="Arial" w:cs="Arial"/>
        </w:rPr>
      </w:pPr>
      <w:r w:rsidRPr="008E2D6E">
        <w:rPr>
          <w:rFonts w:ascii="Arial" w:hAnsi="Arial" w:cs="Arial"/>
        </w:rPr>
        <w:t>Key risk mitigation strategies should be described</w:t>
      </w:r>
    </w:p>
    <w:tbl>
      <w:tblPr>
        <w:tblW w:w="9141" w:type="dxa"/>
        <w:tblInd w:w="93" w:type="dxa"/>
        <w:tblLook w:val="04A0" w:firstRow="1" w:lastRow="0" w:firstColumn="1" w:lastColumn="0" w:noHBand="0" w:noVBand="1"/>
      </w:tblPr>
      <w:tblGrid>
        <w:gridCol w:w="1651"/>
        <w:gridCol w:w="1532"/>
        <w:gridCol w:w="1448"/>
        <w:gridCol w:w="1448"/>
        <w:gridCol w:w="1448"/>
        <w:gridCol w:w="1614"/>
      </w:tblGrid>
      <w:tr w:rsidR="008E2D6E" w:rsidRPr="008E2D6E" w14:paraId="15ABBB6A" w14:textId="77777777" w:rsidTr="006761C5">
        <w:trPr>
          <w:trHeight w:val="292"/>
        </w:trPr>
        <w:tc>
          <w:tcPr>
            <w:tcW w:w="9141" w:type="dxa"/>
            <w:gridSpan w:val="6"/>
            <w:tcBorders>
              <w:top w:val="nil"/>
              <w:left w:val="nil"/>
              <w:bottom w:val="nil"/>
              <w:right w:val="nil"/>
            </w:tcBorders>
            <w:shd w:val="clear" w:color="auto" w:fill="auto"/>
            <w:noWrap/>
            <w:vAlign w:val="bottom"/>
            <w:hideMark/>
          </w:tcPr>
          <w:p w14:paraId="15ABBB69" w14:textId="77777777" w:rsidR="008E2D6E" w:rsidRPr="008E2D6E" w:rsidRDefault="008E2D6E" w:rsidP="008E2D6E">
            <w:pPr>
              <w:spacing w:after="0" w:line="240" w:lineRule="auto"/>
              <w:jc w:val="center"/>
              <w:rPr>
                <w:rFonts w:ascii="Arial" w:eastAsia="Times New Roman" w:hAnsi="Arial" w:cs="Arial"/>
                <w:b/>
                <w:bCs/>
                <w:color w:val="000000"/>
                <w:u w:val="single"/>
                <w:lang w:eastAsia="en-AU"/>
              </w:rPr>
            </w:pPr>
            <w:r w:rsidRPr="008E2D6E">
              <w:rPr>
                <w:rFonts w:ascii="Arial" w:eastAsia="Times New Roman" w:hAnsi="Arial" w:cs="Arial"/>
                <w:b/>
                <w:bCs/>
                <w:color w:val="000000"/>
                <w:u w:val="single"/>
                <w:lang w:eastAsia="en-AU"/>
              </w:rPr>
              <w:t>Risk Matrix</w:t>
            </w:r>
          </w:p>
        </w:tc>
      </w:tr>
      <w:tr w:rsidR="008E2D6E" w:rsidRPr="008E2D6E" w14:paraId="15ABBB6D" w14:textId="77777777" w:rsidTr="006761C5">
        <w:trPr>
          <w:trHeight w:val="292"/>
        </w:trPr>
        <w:tc>
          <w:tcPr>
            <w:tcW w:w="1651" w:type="dxa"/>
            <w:tcBorders>
              <w:top w:val="nil"/>
              <w:left w:val="nil"/>
              <w:bottom w:val="nil"/>
              <w:right w:val="nil"/>
            </w:tcBorders>
            <w:shd w:val="clear" w:color="auto" w:fill="auto"/>
            <w:noWrap/>
            <w:vAlign w:val="bottom"/>
            <w:hideMark/>
          </w:tcPr>
          <w:p w14:paraId="15ABBB6B" w14:textId="77777777" w:rsidR="008E2D6E" w:rsidRPr="008E2D6E" w:rsidRDefault="008E2D6E" w:rsidP="008E2D6E">
            <w:pPr>
              <w:spacing w:after="0" w:line="240" w:lineRule="auto"/>
              <w:rPr>
                <w:rFonts w:ascii="Arial" w:eastAsia="Times New Roman" w:hAnsi="Arial" w:cs="Arial"/>
                <w:color w:val="000000"/>
                <w:lang w:eastAsia="en-AU"/>
              </w:rPr>
            </w:pPr>
          </w:p>
        </w:tc>
        <w:tc>
          <w:tcPr>
            <w:tcW w:w="7490" w:type="dxa"/>
            <w:gridSpan w:val="5"/>
            <w:tcBorders>
              <w:top w:val="single" w:sz="4" w:space="0" w:color="auto"/>
              <w:left w:val="single" w:sz="4" w:space="0" w:color="auto"/>
              <w:bottom w:val="single" w:sz="4" w:space="0" w:color="auto"/>
              <w:right w:val="single" w:sz="4" w:space="0" w:color="000000"/>
            </w:tcBorders>
            <w:shd w:val="clear" w:color="000000" w:fill="02CC71"/>
            <w:noWrap/>
            <w:vAlign w:val="bottom"/>
            <w:hideMark/>
          </w:tcPr>
          <w:p w14:paraId="15ABBB6C" w14:textId="77777777" w:rsidR="008E2D6E" w:rsidRPr="008E2D6E" w:rsidRDefault="008E2D6E" w:rsidP="008E2D6E">
            <w:pPr>
              <w:spacing w:after="0" w:line="240" w:lineRule="auto"/>
              <w:jc w:val="center"/>
              <w:rPr>
                <w:rFonts w:ascii="Arial" w:eastAsia="Times New Roman" w:hAnsi="Arial" w:cs="Arial"/>
                <w:b/>
                <w:bCs/>
                <w:color w:val="000000"/>
                <w:lang w:eastAsia="en-AU"/>
              </w:rPr>
            </w:pPr>
            <w:r w:rsidRPr="008E2D6E">
              <w:rPr>
                <w:rFonts w:ascii="Arial" w:eastAsia="Times New Roman" w:hAnsi="Arial" w:cs="Arial"/>
                <w:b/>
                <w:bCs/>
                <w:color w:val="000000"/>
                <w:lang w:eastAsia="en-AU"/>
              </w:rPr>
              <w:t>Consequences</w:t>
            </w:r>
          </w:p>
        </w:tc>
      </w:tr>
      <w:tr w:rsidR="008E2D6E" w:rsidRPr="008E2D6E" w14:paraId="15ABBB74" w14:textId="77777777" w:rsidTr="006761C5">
        <w:trPr>
          <w:trHeight w:val="292"/>
        </w:trPr>
        <w:tc>
          <w:tcPr>
            <w:tcW w:w="1651" w:type="dxa"/>
            <w:tcBorders>
              <w:top w:val="single" w:sz="4" w:space="0" w:color="auto"/>
              <w:left w:val="single" w:sz="4" w:space="0" w:color="auto"/>
              <w:bottom w:val="single" w:sz="4" w:space="0" w:color="auto"/>
              <w:right w:val="single" w:sz="4" w:space="0" w:color="auto"/>
            </w:tcBorders>
            <w:shd w:val="clear" w:color="000000" w:fill="66CCFF"/>
            <w:noWrap/>
            <w:vAlign w:val="bottom"/>
            <w:hideMark/>
          </w:tcPr>
          <w:p w14:paraId="15ABBB6E" w14:textId="77777777" w:rsidR="008E2D6E" w:rsidRPr="008E2D6E" w:rsidRDefault="008E2D6E" w:rsidP="008E2D6E">
            <w:pPr>
              <w:spacing w:after="0" w:line="240" w:lineRule="auto"/>
              <w:rPr>
                <w:rFonts w:ascii="Arial" w:eastAsia="Times New Roman" w:hAnsi="Arial" w:cs="Arial"/>
                <w:b/>
                <w:bCs/>
                <w:color w:val="000000"/>
                <w:lang w:eastAsia="en-AU"/>
              </w:rPr>
            </w:pPr>
            <w:r w:rsidRPr="008E2D6E">
              <w:rPr>
                <w:rFonts w:ascii="Arial" w:eastAsia="Times New Roman" w:hAnsi="Arial" w:cs="Arial"/>
                <w:b/>
                <w:bCs/>
                <w:color w:val="000000"/>
                <w:lang w:eastAsia="en-AU"/>
              </w:rPr>
              <w:t>Likelihood</w:t>
            </w:r>
          </w:p>
        </w:tc>
        <w:tc>
          <w:tcPr>
            <w:tcW w:w="1532" w:type="dxa"/>
            <w:tcBorders>
              <w:top w:val="nil"/>
              <w:left w:val="nil"/>
              <w:bottom w:val="single" w:sz="4" w:space="0" w:color="auto"/>
              <w:right w:val="single" w:sz="4" w:space="0" w:color="auto"/>
            </w:tcBorders>
            <w:shd w:val="clear" w:color="000000" w:fill="02CC71"/>
            <w:noWrap/>
            <w:vAlign w:val="bottom"/>
            <w:hideMark/>
          </w:tcPr>
          <w:p w14:paraId="15ABBB6F"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Insignificant</w:t>
            </w:r>
          </w:p>
        </w:tc>
        <w:tc>
          <w:tcPr>
            <w:tcW w:w="1448" w:type="dxa"/>
            <w:tcBorders>
              <w:top w:val="nil"/>
              <w:left w:val="nil"/>
              <w:bottom w:val="single" w:sz="4" w:space="0" w:color="auto"/>
              <w:right w:val="single" w:sz="4" w:space="0" w:color="auto"/>
            </w:tcBorders>
            <w:shd w:val="clear" w:color="000000" w:fill="02CC71"/>
            <w:noWrap/>
            <w:vAlign w:val="bottom"/>
            <w:hideMark/>
          </w:tcPr>
          <w:p w14:paraId="15ABBB70"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Minor</w:t>
            </w:r>
          </w:p>
        </w:tc>
        <w:tc>
          <w:tcPr>
            <w:tcW w:w="1448" w:type="dxa"/>
            <w:tcBorders>
              <w:top w:val="nil"/>
              <w:left w:val="nil"/>
              <w:bottom w:val="single" w:sz="4" w:space="0" w:color="auto"/>
              <w:right w:val="single" w:sz="4" w:space="0" w:color="auto"/>
            </w:tcBorders>
            <w:shd w:val="clear" w:color="000000" w:fill="02CC71"/>
            <w:noWrap/>
            <w:vAlign w:val="bottom"/>
            <w:hideMark/>
          </w:tcPr>
          <w:p w14:paraId="15ABBB71"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Moderate</w:t>
            </w:r>
          </w:p>
        </w:tc>
        <w:tc>
          <w:tcPr>
            <w:tcW w:w="1448" w:type="dxa"/>
            <w:tcBorders>
              <w:top w:val="nil"/>
              <w:left w:val="nil"/>
              <w:bottom w:val="single" w:sz="4" w:space="0" w:color="auto"/>
              <w:right w:val="single" w:sz="4" w:space="0" w:color="auto"/>
            </w:tcBorders>
            <w:shd w:val="clear" w:color="000000" w:fill="02CC71"/>
            <w:noWrap/>
            <w:vAlign w:val="bottom"/>
            <w:hideMark/>
          </w:tcPr>
          <w:p w14:paraId="15ABBB72"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Major</w:t>
            </w:r>
          </w:p>
        </w:tc>
        <w:tc>
          <w:tcPr>
            <w:tcW w:w="1614" w:type="dxa"/>
            <w:tcBorders>
              <w:top w:val="nil"/>
              <w:left w:val="nil"/>
              <w:bottom w:val="single" w:sz="4" w:space="0" w:color="auto"/>
              <w:right w:val="single" w:sz="4" w:space="0" w:color="auto"/>
            </w:tcBorders>
            <w:shd w:val="clear" w:color="000000" w:fill="02CC71"/>
            <w:noWrap/>
            <w:vAlign w:val="bottom"/>
            <w:hideMark/>
          </w:tcPr>
          <w:p w14:paraId="15ABBB73"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Catastrophic</w:t>
            </w:r>
          </w:p>
        </w:tc>
      </w:tr>
      <w:tr w:rsidR="008E2D6E" w:rsidRPr="008E2D6E" w14:paraId="15ABBB7B" w14:textId="77777777" w:rsidTr="006761C5">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5ABBB75"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1532" w:type="dxa"/>
            <w:tcBorders>
              <w:top w:val="nil"/>
              <w:left w:val="nil"/>
              <w:bottom w:val="single" w:sz="4" w:space="0" w:color="auto"/>
              <w:right w:val="single" w:sz="4" w:space="0" w:color="auto"/>
            </w:tcBorders>
            <w:shd w:val="clear" w:color="000000" w:fill="FFCC66"/>
            <w:noWrap/>
            <w:vAlign w:val="bottom"/>
            <w:hideMark/>
          </w:tcPr>
          <w:p w14:paraId="15ABBB76"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(11)</w:t>
            </w:r>
          </w:p>
        </w:tc>
        <w:tc>
          <w:tcPr>
            <w:tcW w:w="1448" w:type="dxa"/>
            <w:tcBorders>
              <w:top w:val="nil"/>
              <w:left w:val="nil"/>
              <w:bottom w:val="single" w:sz="4" w:space="0" w:color="auto"/>
              <w:right w:val="single" w:sz="4" w:space="0" w:color="auto"/>
            </w:tcBorders>
            <w:shd w:val="clear" w:color="000000" w:fill="FFCC66"/>
            <w:noWrap/>
            <w:vAlign w:val="bottom"/>
            <w:hideMark/>
          </w:tcPr>
          <w:p w14:paraId="15ABBB77"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(16)</w:t>
            </w:r>
          </w:p>
        </w:tc>
        <w:tc>
          <w:tcPr>
            <w:tcW w:w="1448" w:type="dxa"/>
            <w:tcBorders>
              <w:top w:val="nil"/>
              <w:left w:val="nil"/>
              <w:bottom w:val="single" w:sz="4" w:space="0" w:color="auto"/>
              <w:right w:val="single" w:sz="4" w:space="0" w:color="auto"/>
            </w:tcBorders>
            <w:shd w:val="clear" w:color="000000" w:fill="FF6600"/>
            <w:noWrap/>
            <w:vAlign w:val="bottom"/>
            <w:hideMark/>
          </w:tcPr>
          <w:p w14:paraId="15ABBB78"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(20)</w:t>
            </w:r>
          </w:p>
        </w:tc>
        <w:tc>
          <w:tcPr>
            <w:tcW w:w="1448" w:type="dxa"/>
            <w:tcBorders>
              <w:top w:val="nil"/>
              <w:left w:val="nil"/>
              <w:bottom w:val="single" w:sz="4" w:space="0" w:color="auto"/>
              <w:right w:val="single" w:sz="4" w:space="0" w:color="auto"/>
            </w:tcBorders>
            <w:shd w:val="clear" w:color="000000" w:fill="FF3300"/>
            <w:noWrap/>
            <w:vAlign w:val="bottom"/>
            <w:hideMark/>
          </w:tcPr>
          <w:p w14:paraId="15ABBB79"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(23)</w:t>
            </w:r>
          </w:p>
        </w:tc>
        <w:tc>
          <w:tcPr>
            <w:tcW w:w="1614" w:type="dxa"/>
            <w:tcBorders>
              <w:top w:val="nil"/>
              <w:left w:val="nil"/>
              <w:bottom w:val="single" w:sz="4" w:space="0" w:color="auto"/>
              <w:right w:val="single" w:sz="4" w:space="0" w:color="auto"/>
            </w:tcBorders>
            <w:shd w:val="clear" w:color="000000" w:fill="FF3300"/>
            <w:noWrap/>
            <w:vAlign w:val="bottom"/>
            <w:hideMark/>
          </w:tcPr>
          <w:p w14:paraId="15ABBB7A"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(25)</w:t>
            </w:r>
          </w:p>
        </w:tc>
      </w:tr>
      <w:tr w:rsidR="008E2D6E" w:rsidRPr="008E2D6E" w14:paraId="15ABBB82" w14:textId="77777777" w:rsidTr="006761C5">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5ABBB7C"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1532" w:type="dxa"/>
            <w:tcBorders>
              <w:top w:val="nil"/>
              <w:left w:val="nil"/>
              <w:bottom w:val="single" w:sz="4" w:space="0" w:color="auto"/>
              <w:right w:val="single" w:sz="4" w:space="0" w:color="auto"/>
            </w:tcBorders>
            <w:shd w:val="clear" w:color="000000" w:fill="FFFFCC"/>
            <w:noWrap/>
            <w:vAlign w:val="bottom"/>
            <w:hideMark/>
          </w:tcPr>
          <w:p w14:paraId="15ABBB7D"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(7)</w:t>
            </w:r>
          </w:p>
        </w:tc>
        <w:tc>
          <w:tcPr>
            <w:tcW w:w="1448" w:type="dxa"/>
            <w:tcBorders>
              <w:top w:val="nil"/>
              <w:left w:val="nil"/>
              <w:bottom w:val="single" w:sz="4" w:space="0" w:color="auto"/>
              <w:right w:val="single" w:sz="4" w:space="0" w:color="auto"/>
            </w:tcBorders>
            <w:shd w:val="clear" w:color="000000" w:fill="FFCC66"/>
            <w:noWrap/>
            <w:vAlign w:val="bottom"/>
            <w:hideMark/>
          </w:tcPr>
          <w:p w14:paraId="15ABBB7E"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(12)</w:t>
            </w:r>
          </w:p>
        </w:tc>
        <w:tc>
          <w:tcPr>
            <w:tcW w:w="1448" w:type="dxa"/>
            <w:tcBorders>
              <w:top w:val="nil"/>
              <w:left w:val="nil"/>
              <w:bottom w:val="single" w:sz="4" w:space="0" w:color="auto"/>
              <w:right w:val="single" w:sz="4" w:space="0" w:color="auto"/>
            </w:tcBorders>
            <w:shd w:val="clear" w:color="000000" w:fill="FF6600"/>
            <w:noWrap/>
            <w:vAlign w:val="bottom"/>
            <w:hideMark/>
          </w:tcPr>
          <w:p w14:paraId="15ABBB7F"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(17)</w:t>
            </w:r>
          </w:p>
        </w:tc>
        <w:tc>
          <w:tcPr>
            <w:tcW w:w="1448" w:type="dxa"/>
            <w:tcBorders>
              <w:top w:val="nil"/>
              <w:left w:val="nil"/>
              <w:bottom w:val="single" w:sz="4" w:space="0" w:color="auto"/>
              <w:right w:val="single" w:sz="4" w:space="0" w:color="auto"/>
            </w:tcBorders>
            <w:shd w:val="clear" w:color="000000" w:fill="FF6600"/>
            <w:noWrap/>
            <w:vAlign w:val="bottom"/>
            <w:hideMark/>
          </w:tcPr>
          <w:p w14:paraId="15ABBB80"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(21)</w:t>
            </w:r>
          </w:p>
        </w:tc>
        <w:tc>
          <w:tcPr>
            <w:tcW w:w="1614" w:type="dxa"/>
            <w:tcBorders>
              <w:top w:val="nil"/>
              <w:left w:val="nil"/>
              <w:bottom w:val="single" w:sz="4" w:space="0" w:color="auto"/>
              <w:right w:val="single" w:sz="4" w:space="0" w:color="auto"/>
            </w:tcBorders>
            <w:shd w:val="clear" w:color="000000" w:fill="FF3300"/>
            <w:noWrap/>
            <w:vAlign w:val="bottom"/>
            <w:hideMark/>
          </w:tcPr>
          <w:p w14:paraId="15ABBB81"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(24)</w:t>
            </w:r>
          </w:p>
        </w:tc>
      </w:tr>
      <w:tr w:rsidR="008E2D6E" w:rsidRPr="008E2D6E" w14:paraId="15ABBB89" w14:textId="77777777" w:rsidTr="006761C5">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5ABBB83"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1532" w:type="dxa"/>
            <w:tcBorders>
              <w:top w:val="nil"/>
              <w:left w:val="nil"/>
              <w:bottom w:val="single" w:sz="4" w:space="0" w:color="auto"/>
              <w:right w:val="single" w:sz="4" w:space="0" w:color="auto"/>
            </w:tcBorders>
            <w:shd w:val="clear" w:color="000000" w:fill="FFFFCC"/>
            <w:noWrap/>
            <w:vAlign w:val="bottom"/>
            <w:hideMark/>
          </w:tcPr>
          <w:p w14:paraId="15ABBB84"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(4)</w:t>
            </w:r>
          </w:p>
        </w:tc>
        <w:tc>
          <w:tcPr>
            <w:tcW w:w="1448" w:type="dxa"/>
            <w:tcBorders>
              <w:top w:val="nil"/>
              <w:left w:val="nil"/>
              <w:bottom w:val="single" w:sz="4" w:space="0" w:color="auto"/>
              <w:right w:val="single" w:sz="4" w:space="0" w:color="auto"/>
            </w:tcBorders>
            <w:shd w:val="clear" w:color="000000" w:fill="FFCC66"/>
            <w:noWrap/>
            <w:vAlign w:val="bottom"/>
            <w:hideMark/>
          </w:tcPr>
          <w:p w14:paraId="15ABBB85"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(8)</w:t>
            </w:r>
          </w:p>
        </w:tc>
        <w:tc>
          <w:tcPr>
            <w:tcW w:w="1448" w:type="dxa"/>
            <w:tcBorders>
              <w:top w:val="nil"/>
              <w:left w:val="nil"/>
              <w:bottom w:val="single" w:sz="4" w:space="0" w:color="auto"/>
              <w:right w:val="single" w:sz="4" w:space="0" w:color="auto"/>
            </w:tcBorders>
            <w:shd w:val="clear" w:color="000000" w:fill="FFCC66"/>
            <w:noWrap/>
            <w:vAlign w:val="bottom"/>
            <w:hideMark/>
          </w:tcPr>
          <w:p w14:paraId="15ABBB86"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(13)</w:t>
            </w:r>
          </w:p>
        </w:tc>
        <w:tc>
          <w:tcPr>
            <w:tcW w:w="1448" w:type="dxa"/>
            <w:tcBorders>
              <w:top w:val="nil"/>
              <w:left w:val="nil"/>
              <w:bottom w:val="single" w:sz="4" w:space="0" w:color="auto"/>
              <w:right w:val="single" w:sz="4" w:space="0" w:color="auto"/>
            </w:tcBorders>
            <w:shd w:val="clear" w:color="000000" w:fill="FF6600"/>
            <w:noWrap/>
            <w:vAlign w:val="bottom"/>
            <w:hideMark/>
          </w:tcPr>
          <w:p w14:paraId="15ABBB87"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(18)</w:t>
            </w:r>
          </w:p>
        </w:tc>
        <w:tc>
          <w:tcPr>
            <w:tcW w:w="1614" w:type="dxa"/>
            <w:tcBorders>
              <w:top w:val="nil"/>
              <w:left w:val="nil"/>
              <w:bottom w:val="single" w:sz="4" w:space="0" w:color="auto"/>
              <w:right w:val="single" w:sz="4" w:space="0" w:color="auto"/>
            </w:tcBorders>
            <w:shd w:val="clear" w:color="000000" w:fill="FF6600"/>
            <w:noWrap/>
            <w:vAlign w:val="bottom"/>
            <w:hideMark/>
          </w:tcPr>
          <w:p w14:paraId="15ABBB88"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(22)</w:t>
            </w:r>
          </w:p>
        </w:tc>
      </w:tr>
      <w:tr w:rsidR="008E2D6E" w:rsidRPr="008E2D6E" w14:paraId="15ABBB90" w14:textId="77777777" w:rsidTr="006761C5">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5ABBB8A"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1532" w:type="dxa"/>
            <w:tcBorders>
              <w:top w:val="nil"/>
              <w:left w:val="nil"/>
              <w:bottom w:val="single" w:sz="4" w:space="0" w:color="auto"/>
              <w:right w:val="single" w:sz="4" w:space="0" w:color="auto"/>
            </w:tcBorders>
            <w:shd w:val="clear" w:color="000000" w:fill="FFFFCC"/>
            <w:noWrap/>
            <w:vAlign w:val="bottom"/>
            <w:hideMark/>
          </w:tcPr>
          <w:p w14:paraId="15ABBB8B"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(2)</w:t>
            </w:r>
          </w:p>
        </w:tc>
        <w:tc>
          <w:tcPr>
            <w:tcW w:w="1448" w:type="dxa"/>
            <w:tcBorders>
              <w:top w:val="nil"/>
              <w:left w:val="nil"/>
              <w:bottom w:val="single" w:sz="4" w:space="0" w:color="auto"/>
              <w:right w:val="single" w:sz="4" w:space="0" w:color="auto"/>
            </w:tcBorders>
            <w:shd w:val="clear" w:color="000000" w:fill="FFFFCC"/>
            <w:noWrap/>
            <w:vAlign w:val="bottom"/>
            <w:hideMark/>
          </w:tcPr>
          <w:p w14:paraId="15ABBB8C"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(5)</w:t>
            </w:r>
          </w:p>
        </w:tc>
        <w:tc>
          <w:tcPr>
            <w:tcW w:w="1448" w:type="dxa"/>
            <w:tcBorders>
              <w:top w:val="nil"/>
              <w:left w:val="nil"/>
              <w:bottom w:val="single" w:sz="4" w:space="0" w:color="auto"/>
              <w:right w:val="single" w:sz="4" w:space="0" w:color="auto"/>
            </w:tcBorders>
            <w:shd w:val="clear" w:color="000000" w:fill="FFCC66"/>
            <w:noWrap/>
            <w:vAlign w:val="bottom"/>
            <w:hideMark/>
          </w:tcPr>
          <w:p w14:paraId="15ABBB8D"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(9)</w:t>
            </w:r>
          </w:p>
        </w:tc>
        <w:tc>
          <w:tcPr>
            <w:tcW w:w="1448" w:type="dxa"/>
            <w:tcBorders>
              <w:top w:val="nil"/>
              <w:left w:val="nil"/>
              <w:bottom w:val="single" w:sz="4" w:space="0" w:color="auto"/>
              <w:right w:val="single" w:sz="4" w:space="0" w:color="auto"/>
            </w:tcBorders>
            <w:shd w:val="clear" w:color="000000" w:fill="FFCC66"/>
            <w:noWrap/>
            <w:vAlign w:val="bottom"/>
            <w:hideMark/>
          </w:tcPr>
          <w:p w14:paraId="15ABBB8E"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(14)</w:t>
            </w:r>
          </w:p>
        </w:tc>
        <w:tc>
          <w:tcPr>
            <w:tcW w:w="1614" w:type="dxa"/>
            <w:tcBorders>
              <w:top w:val="nil"/>
              <w:left w:val="nil"/>
              <w:bottom w:val="single" w:sz="4" w:space="0" w:color="auto"/>
              <w:right w:val="single" w:sz="4" w:space="0" w:color="auto"/>
            </w:tcBorders>
            <w:shd w:val="clear" w:color="000000" w:fill="FF6600"/>
            <w:noWrap/>
            <w:vAlign w:val="bottom"/>
            <w:hideMark/>
          </w:tcPr>
          <w:p w14:paraId="15ABBB8F"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(19)</w:t>
            </w:r>
          </w:p>
        </w:tc>
      </w:tr>
      <w:tr w:rsidR="008E2D6E" w:rsidRPr="008E2D6E" w14:paraId="15ABBB97" w14:textId="77777777" w:rsidTr="006761C5">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5ABBB91"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1532" w:type="dxa"/>
            <w:tcBorders>
              <w:top w:val="nil"/>
              <w:left w:val="nil"/>
              <w:bottom w:val="single" w:sz="4" w:space="0" w:color="auto"/>
              <w:right w:val="single" w:sz="4" w:space="0" w:color="auto"/>
            </w:tcBorders>
            <w:shd w:val="clear" w:color="000000" w:fill="FFFFCC"/>
            <w:noWrap/>
            <w:vAlign w:val="bottom"/>
            <w:hideMark/>
          </w:tcPr>
          <w:p w14:paraId="15ABBB92"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(1)</w:t>
            </w:r>
          </w:p>
        </w:tc>
        <w:tc>
          <w:tcPr>
            <w:tcW w:w="1448" w:type="dxa"/>
            <w:tcBorders>
              <w:top w:val="nil"/>
              <w:left w:val="nil"/>
              <w:bottom w:val="single" w:sz="4" w:space="0" w:color="auto"/>
              <w:right w:val="single" w:sz="4" w:space="0" w:color="auto"/>
            </w:tcBorders>
            <w:shd w:val="clear" w:color="000000" w:fill="FFFFCC"/>
            <w:noWrap/>
            <w:vAlign w:val="bottom"/>
            <w:hideMark/>
          </w:tcPr>
          <w:p w14:paraId="15ABBB93"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(3)</w:t>
            </w:r>
          </w:p>
        </w:tc>
        <w:tc>
          <w:tcPr>
            <w:tcW w:w="1448" w:type="dxa"/>
            <w:tcBorders>
              <w:top w:val="nil"/>
              <w:left w:val="nil"/>
              <w:bottom w:val="single" w:sz="4" w:space="0" w:color="auto"/>
              <w:right w:val="single" w:sz="4" w:space="0" w:color="auto"/>
            </w:tcBorders>
            <w:shd w:val="clear" w:color="000000" w:fill="FFFFCC"/>
            <w:noWrap/>
            <w:vAlign w:val="bottom"/>
            <w:hideMark/>
          </w:tcPr>
          <w:p w14:paraId="15ABBB94"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(6)</w:t>
            </w:r>
          </w:p>
        </w:tc>
        <w:tc>
          <w:tcPr>
            <w:tcW w:w="1448" w:type="dxa"/>
            <w:tcBorders>
              <w:top w:val="nil"/>
              <w:left w:val="nil"/>
              <w:bottom w:val="single" w:sz="4" w:space="0" w:color="auto"/>
              <w:right w:val="single" w:sz="4" w:space="0" w:color="auto"/>
            </w:tcBorders>
            <w:shd w:val="clear" w:color="000000" w:fill="FFCC66"/>
            <w:noWrap/>
            <w:vAlign w:val="bottom"/>
            <w:hideMark/>
          </w:tcPr>
          <w:p w14:paraId="15ABBB95"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(10)</w:t>
            </w:r>
          </w:p>
        </w:tc>
        <w:tc>
          <w:tcPr>
            <w:tcW w:w="1614" w:type="dxa"/>
            <w:tcBorders>
              <w:top w:val="nil"/>
              <w:left w:val="nil"/>
              <w:bottom w:val="single" w:sz="4" w:space="0" w:color="auto"/>
              <w:right w:val="single" w:sz="4" w:space="0" w:color="auto"/>
            </w:tcBorders>
            <w:shd w:val="clear" w:color="000000" w:fill="FFCC66"/>
            <w:noWrap/>
            <w:vAlign w:val="bottom"/>
            <w:hideMark/>
          </w:tcPr>
          <w:p w14:paraId="15ABBB96"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(15)</w:t>
            </w:r>
          </w:p>
        </w:tc>
      </w:tr>
    </w:tbl>
    <w:p w14:paraId="15ABBB98" w14:textId="77777777" w:rsidR="008E2D6E" w:rsidRDefault="008E2D6E" w:rsidP="008E2D6E">
      <w:pPr>
        <w:spacing w:after="0" w:line="240" w:lineRule="auto"/>
        <w:jc w:val="center"/>
        <w:rPr>
          <w:rFonts w:eastAsiaTheme="minorHAnsi" w:cstheme="minorBidi"/>
          <w:szCs w:val="21"/>
        </w:rPr>
      </w:pPr>
    </w:p>
    <w:p w14:paraId="15ABBB99" w14:textId="77777777" w:rsidR="0088496B" w:rsidRDefault="0088496B" w:rsidP="008E2D6E">
      <w:pPr>
        <w:spacing w:after="0" w:line="240" w:lineRule="auto"/>
        <w:jc w:val="center"/>
        <w:rPr>
          <w:rFonts w:eastAsiaTheme="minorHAnsi" w:cstheme="minorBidi"/>
          <w:szCs w:val="21"/>
        </w:rPr>
      </w:pPr>
    </w:p>
    <w:p w14:paraId="15ABBB9A" w14:textId="77777777" w:rsidR="0088496B" w:rsidRDefault="0088496B" w:rsidP="008E2D6E">
      <w:pPr>
        <w:spacing w:after="0" w:line="240" w:lineRule="auto"/>
        <w:jc w:val="center"/>
        <w:rPr>
          <w:rFonts w:eastAsiaTheme="minorHAnsi" w:cstheme="minorBidi"/>
          <w:szCs w:val="21"/>
        </w:rPr>
      </w:pPr>
    </w:p>
    <w:p w14:paraId="15ABBB9B" w14:textId="77777777" w:rsidR="0088496B" w:rsidRDefault="0088496B" w:rsidP="008E2D6E">
      <w:pPr>
        <w:spacing w:after="0" w:line="240" w:lineRule="auto"/>
        <w:jc w:val="center"/>
        <w:rPr>
          <w:rFonts w:eastAsiaTheme="minorHAnsi" w:cstheme="minorBidi"/>
          <w:szCs w:val="21"/>
        </w:rPr>
      </w:pPr>
    </w:p>
    <w:p w14:paraId="15ABBB9C" w14:textId="77777777" w:rsidR="0088496B" w:rsidRDefault="0088496B" w:rsidP="008E2D6E">
      <w:pPr>
        <w:spacing w:after="0" w:line="240" w:lineRule="auto"/>
        <w:jc w:val="center"/>
        <w:rPr>
          <w:rFonts w:eastAsiaTheme="minorHAnsi" w:cstheme="minorBidi"/>
          <w:szCs w:val="21"/>
        </w:rPr>
      </w:pPr>
    </w:p>
    <w:p w14:paraId="15ABBB9D" w14:textId="77777777" w:rsidR="0088496B" w:rsidRDefault="0088496B" w:rsidP="008E2D6E">
      <w:pPr>
        <w:spacing w:after="0" w:line="240" w:lineRule="auto"/>
        <w:jc w:val="center"/>
        <w:rPr>
          <w:rFonts w:eastAsiaTheme="minorHAnsi" w:cstheme="minorBidi"/>
          <w:szCs w:val="21"/>
        </w:rPr>
      </w:pPr>
    </w:p>
    <w:p w14:paraId="15ABBB9E" w14:textId="77777777" w:rsidR="0088496B" w:rsidRDefault="0088496B" w:rsidP="008E2D6E">
      <w:pPr>
        <w:spacing w:after="0" w:line="240" w:lineRule="auto"/>
        <w:jc w:val="center"/>
        <w:rPr>
          <w:rFonts w:eastAsiaTheme="minorHAnsi" w:cstheme="minorBidi"/>
          <w:szCs w:val="21"/>
        </w:rPr>
      </w:pPr>
    </w:p>
    <w:p w14:paraId="15ABBB9F" w14:textId="77777777" w:rsidR="0088496B" w:rsidRDefault="0088496B" w:rsidP="008E2D6E">
      <w:pPr>
        <w:spacing w:after="0" w:line="240" w:lineRule="auto"/>
        <w:jc w:val="center"/>
        <w:rPr>
          <w:rFonts w:eastAsiaTheme="minorHAnsi" w:cstheme="minorBidi"/>
          <w:szCs w:val="21"/>
        </w:rPr>
      </w:pPr>
    </w:p>
    <w:p w14:paraId="15ABBBA0" w14:textId="77777777" w:rsidR="0088496B" w:rsidRDefault="0088496B" w:rsidP="008E2D6E">
      <w:pPr>
        <w:spacing w:after="0" w:line="240" w:lineRule="auto"/>
        <w:jc w:val="center"/>
        <w:rPr>
          <w:rFonts w:eastAsiaTheme="minorHAnsi" w:cstheme="minorBidi"/>
          <w:szCs w:val="21"/>
        </w:rPr>
      </w:pPr>
    </w:p>
    <w:p w14:paraId="15ABBBA1" w14:textId="77777777" w:rsidR="0088496B" w:rsidRPr="008E2D6E" w:rsidRDefault="0088496B" w:rsidP="008E2D6E">
      <w:pPr>
        <w:spacing w:after="0" w:line="240" w:lineRule="auto"/>
        <w:jc w:val="center"/>
        <w:rPr>
          <w:rFonts w:eastAsiaTheme="minorHAnsi" w:cstheme="minorBidi"/>
          <w:szCs w:val="21"/>
        </w:rPr>
      </w:pPr>
    </w:p>
    <w:tbl>
      <w:tblPr>
        <w:tblW w:w="9140" w:type="dxa"/>
        <w:tblInd w:w="93" w:type="dxa"/>
        <w:tblLook w:val="04A0" w:firstRow="1" w:lastRow="0" w:firstColumn="1" w:lastColumn="0" w:noHBand="0" w:noVBand="1"/>
      </w:tblPr>
      <w:tblGrid>
        <w:gridCol w:w="1660"/>
        <w:gridCol w:w="3400"/>
        <w:gridCol w:w="4080"/>
      </w:tblGrid>
      <w:tr w:rsidR="008E2D6E" w:rsidRPr="008E2D6E" w14:paraId="15ABBBA3" w14:textId="77777777" w:rsidTr="006761C5">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000000" w:fill="FFFFCC"/>
            <w:hideMark/>
          </w:tcPr>
          <w:p w14:paraId="15ABBBA2" w14:textId="77777777" w:rsidR="008E2D6E" w:rsidRPr="008E2D6E" w:rsidRDefault="008E2D6E" w:rsidP="008E2D6E">
            <w:pPr>
              <w:spacing w:after="0" w:line="240" w:lineRule="auto"/>
              <w:jc w:val="center"/>
              <w:rPr>
                <w:rFonts w:ascii="Arial" w:eastAsia="Times New Roman" w:hAnsi="Arial" w:cs="Arial"/>
                <w:b/>
                <w:bCs/>
                <w:u w:val="single"/>
                <w:lang w:eastAsia="en-AU"/>
              </w:rPr>
            </w:pPr>
            <w:r w:rsidRPr="008E2D6E">
              <w:rPr>
                <w:rFonts w:ascii="Arial" w:eastAsia="Times New Roman" w:hAnsi="Arial" w:cs="Arial"/>
                <w:b/>
                <w:bCs/>
                <w:u w:val="single"/>
                <w:lang w:eastAsia="en-AU"/>
              </w:rPr>
              <w:t>Likelihood Table</w:t>
            </w:r>
          </w:p>
        </w:tc>
      </w:tr>
      <w:tr w:rsidR="008E2D6E" w:rsidRPr="008E2D6E" w14:paraId="15ABBBA7" w14:textId="77777777" w:rsidTr="006761C5">
        <w:trPr>
          <w:trHeight w:val="510"/>
        </w:trPr>
        <w:tc>
          <w:tcPr>
            <w:tcW w:w="1660" w:type="dxa"/>
            <w:tcBorders>
              <w:top w:val="nil"/>
              <w:left w:val="single" w:sz="4" w:space="0" w:color="auto"/>
              <w:bottom w:val="single" w:sz="4" w:space="0" w:color="auto"/>
              <w:right w:val="single" w:sz="4" w:space="0" w:color="auto"/>
            </w:tcBorders>
            <w:shd w:val="clear" w:color="000000" w:fill="FFFFCC"/>
            <w:hideMark/>
          </w:tcPr>
          <w:p w14:paraId="15ABBBA4" w14:textId="77777777" w:rsidR="008E2D6E" w:rsidRPr="008E2D6E" w:rsidRDefault="008E2D6E" w:rsidP="008E2D6E">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Likelihood</w:t>
            </w:r>
          </w:p>
        </w:tc>
        <w:tc>
          <w:tcPr>
            <w:tcW w:w="3400" w:type="dxa"/>
            <w:tcBorders>
              <w:top w:val="nil"/>
              <w:left w:val="nil"/>
              <w:bottom w:val="single" w:sz="4" w:space="0" w:color="auto"/>
              <w:right w:val="single" w:sz="4" w:space="0" w:color="auto"/>
            </w:tcBorders>
            <w:shd w:val="clear" w:color="000000" w:fill="FFFFCC"/>
            <w:hideMark/>
          </w:tcPr>
          <w:p w14:paraId="15ABBBA5" w14:textId="77777777" w:rsidR="008E2D6E" w:rsidRPr="008E2D6E" w:rsidRDefault="008E2D6E" w:rsidP="008E2D6E">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Qualitative Description</w:t>
            </w:r>
          </w:p>
        </w:tc>
        <w:tc>
          <w:tcPr>
            <w:tcW w:w="4080" w:type="dxa"/>
            <w:tcBorders>
              <w:top w:val="nil"/>
              <w:left w:val="nil"/>
              <w:bottom w:val="single" w:sz="4" w:space="0" w:color="auto"/>
              <w:right w:val="single" w:sz="4" w:space="0" w:color="auto"/>
            </w:tcBorders>
            <w:shd w:val="clear" w:color="000000" w:fill="FFFFCC"/>
            <w:hideMark/>
          </w:tcPr>
          <w:p w14:paraId="15ABBBA6" w14:textId="77777777" w:rsidR="008E2D6E" w:rsidRPr="008E2D6E" w:rsidRDefault="008E2D6E" w:rsidP="008E2D6E">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Example of a Quantitative Description</w:t>
            </w:r>
          </w:p>
        </w:tc>
      </w:tr>
      <w:tr w:rsidR="008E2D6E" w:rsidRPr="008E2D6E" w14:paraId="15ABBBAB" w14:textId="77777777" w:rsidTr="006761C5">
        <w:trPr>
          <w:trHeight w:val="588"/>
        </w:trPr>
        <w:tc>
          <w:tcPr>
            <w:tcW w:w="1660" w:type="dxa"/>
            <w:tcBorders>
              <w:top w:val="nil"/>
              <w:left w:val="single" w:sz="4" w:space="0" w:color="auto"/>
              <w:bottom w:val="single" w:sz="4" w:space="0" w:color="auto"/>
              <w:right w:val="single" w:sz="4" w:space="0" w:color="auto"/>
            </w:tcBorders>
            <w:shd w:val="clear" w:color="auto" w:fill="auto"/>
            <w:hideMark/>
          </w:tcPr>
          <w:p w14:paraId="15ABBBA8"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3400" w:type="dxa"/>
            <w:tcBorders>
              <w:top w:val="nil"/>
              <w:left w:val="nil"/>
              <w:bottom w:val="single" w:sz="4" w:space="0" w:color="auto"/>
              <w:right w:val="single" w:sz="4" w:space="0" w:color="auto"/>
            </w:tcBorders>
            <w:shd w:val="clear" w:color="auto" w:fill="auto"/>
            <w:hideMark/>
          </w:tcPr>
          <w:p w14:paraId="15ABBBA9"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is expected to occur in most circumstances</w:t>
            </w:r>
          </w:p>
        </w:tc>
        <w:tc>
          <w:tcPr>
            <w:tcW w:w="4080" w:type="dxa"/>
            <w:tcBorders>
              <w:top w:val="nil"/>
              <w:left w:val="nil"/>
              <w:bottom w:val="single" w:sz="4" w:space="0" w:color="auto"/>
              <w:right w:val="single" w:sz="4" w:space="0" w:color="auto"/>
            </w:tcBorders>
            <w:shd w:val="clear" w:color="auto" w:fill="auto"/>
            <w:hideMark/>
          </w:tcPr>
          <w:p w14:paraId="15ABBBAA"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a year or more frequently</w:t>
            </w:r>
          </w:p>
        </w:tc>
      </w:tr>
      <w:tr w:rsidR="008E2D6E" w:rsidRPr="008E2D6E" w14:paraId="15ABBBAF" w14:textId="77777777" w:rsidTr="006761C5">
        <w:trPr>
          <w:trHeight w:val="529"/>
        </w:trPr>
        <w:tc>
          <w:tcPr>
            <w:tcW w:w="1660" w:type="dxa"/>
            <w:tcBorders>
              <w:top w:val="nil"/>
              <w:left w:val="single" w:sz="4" w:space="0" w:color="auto"/>
              <w:bottom w:val="single" w:sz="4" w:space="0" w:color="auto"/>
              <w:right w:val="single" w:sz="4" w:space="0" w:color="auto"/>
            </w:tcBorders>
            <w:shd w:val="clear" w:color="auto" w:fill="auto"/>
            <w:hideMark/>
          </w:tcPr>
          <w:p w14:paraId="15ABBBAC"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3400" w:type="dxa"/>
            <w:tcBorders>
              <w:top w:val="nil"/>
              <w:left w:val="nil"/>
              <w:bottom w:val="single" w:sz="4" w:space="0" w:color="auto"/>
              <w:right w:val="single" w:sz="4" w:space="0" w:color="auto"/>
            </w:tcBorders>
            <w:shd w:val="clear" w:color="auto" w:fill="auto"/>
            <w:hideMark/>
          </w:tcPr>
          <w:p w14:paraId="15ABBBAD"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will probably occur in many circumstances</w:t>
            </w:r>
          </w:p>
        </w:tc>
        <w:tc>
          <w:tcPr>
            <w:tcW w:w="4080" w:type="dxa"/>
            <w:tcBorders>
              <w:top w:val="nil"/>
              <w:left w:val="nil"/>
              <w:bottom w:val="single" w:sz="4" w:space="0" w:color="auto"/>
              <w:right w:val="single" w:sz="4" w:space="0" w:color="auto"/>
            </w:tcBorders>
            <w:shd w:val="clear" w:color="auto" w:fill="auto"/>
            <w:hideMark/>
          </w:tcPr>
          <w:p w14:paraId="15ABBBAE"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three years</w:t>
            </w:r>
          </w:p>
        </w:tc>
      </w:tr>
      <w:tr w:rsidR="008E2D6E" w:rsidRPr="008E2D6E" w14:paraId="15ABBBB3" w14:textId="77777777" w:rsidTr="006761C5">
        <w:trPr>
          <w:trHeight w:val="750"/>
        </w:trPr>
        <w:tc>
          <w:tcPr>
            <w:tcW w:w="1660" w:type="dxa"/>
            <w:tcBorders>
              <w:top w:val="nil"/>
              <w:left w:val="single" w:sz="4" w:space="0" w:color="auto"/>
              <w:bottom w:val="single" w:sz="4" w:space="0" w:color="auto"/>
              <w:right w:val="single" w:sz="4" w:space="0" w:color="auto"/>
            </w:tcBorders>
            <w:shd w:val="clear" w:color="auto" w:fill="auto"/>
            <w:hideMark/>
          </w:tcPr>
          <w:p w14:paraId="15ABBBB0"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3400" w:type="dxa"/>
            <w:tcBorders>
              <w:top w:val="nil"/>
              <w:left w:val="nil"/>
              <w:bottom w:val="single" w:sz="4" w:space="0" w:color="auto"/>
              <w:right w:val="single" w:sz="4" w:space="0" w:color="auto"/>
            </w:tcBorders>
            <w:shd w:val="clear" w:color="auto" w:fill="auto"/>
            <w:hideMark/>
          </w:tcPr>
          <w:p w14:paraId="15ABBBB1"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identified factors indicate the event could occur at some time</w:t>
            </w:r>
          </w:p>
        </w:tc>
        <w:tc>
          <w:tcPr>
            <w:tcW w:w="4080" w:type="dxa"/>
            <w:tcBorders>
              <w:top w:val="nil"/>
              <w:left w:val="nil"/>
              <w:bottom w:val="single" w:sz="4" w:space="0" w:color="auto"/>
              <w:right w:val="single" w:sz="4" w:space="0" w:color="auto"/>
            </w:tcBorders>
            <w:shd w:val="clear" w:color="auto" w:fill="auto"/>
            <w:hideMark/>
          </w:tcPr>
          <w:p w14:paraId="15ABBBB2"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 years</w:t>
            </w:r>
          </w:p>
        </w:tc>
      </w:tr>
      <w:tr w:rsidR="008E2D6E" w:rsidRPr="008E2D6E" w14:paraId="15ABBBB7" w14:textId="77777777" w:rsidTr="006761C5">
        <w:trPr>
          <w:trHeight w:val="578"/>
        </w:trPr>
        <w:tc>
          <w:tcPr>
            <w:tcW w:w="1660" w:type="dxa"/>
            <w:tcBorders>
              <w:top w:val="nil"/>
              <w:left w:val="single" w:sz="4" w:space="0" w:color="auto"/>
              <w:bottom w:val="single" w:sz="4" w:space="0" w:color="auto"/>
              <w:right w:val="single" w:sz="4" w:space="0" w:color="auto"/>
            </w:tcBorders>
            <w:shd w:val="clear" w:color="auto" w:fill="auto"/>
            <w:hideMark/>
          </w:tcPr>
          <w:p w14:paraId="15ABBBB4"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3400" w:type="dxa"/>
            <w:tcBorders>
              <w:top w:val="nil"/>
              <w:left w:val="nil"/>
              <w:bottom w:val="single" w:sz="4" w:space="0" w:color="auto"/>
              <w:right w:val="single" w:sz="4" w:space="0" w:color="auto"/>
            </w:tcBorders>
            <w:shd w:val="clear" w:color="auto" w:fill="auto"/>
            <w:hideMark/>
          </w:tcPr>
          <w:p w14:paraId="15ABBBB5"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could occur at some time but is not expected</w:t>
            </w:r>
          </w:p>
        </w:tc>
        <w:tc>
          <w:tcPr>
            <w:tcW w:w="4080" w:type="dxa"/>
            <w:tcBorders>
              <w:top w:val="nil"/>
              <w:left w:val="nil"/>
              <w:bottom w:val="single" w:sz="4" w:space="0" w:color="auto"/>
              <w:right w:val="single" w:sz="4" w:space="0" w:color="auto"/>
            </w:tcBorders>
            <w:shd w:val="clear" w:color="auto" w:fill="auto"/>
            <w:hideMark/>
          </w:tcPr>
          <w:p w14:paraId="15ABBBB6"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every 30 years</w:t>
            </w:r>
          </w:p>
        </w:tc>
      </w:tr>
      <w:tr w:rsidR="008E2D6E" w:rsidRPr="008E2D6E" w14:paraId="15ABBBBB" w14:textId="77777777" w:rsidTr="006761C5">
        <w:trPr>
          <w:trHeight w:val="544"/>
        </w:trPr>
        <w:tc>
          <w:tcPr>
            <w:tcW w:w="1660" w:type="dxa"/>
            <w:tcBorders>
              <w:top w:val="nil"/>
              <w:left w:val="single" w:sz="4" w:space="0" w:color="auto"/>
              <w:bottom w:val="single" w:sz="4" w:space="0" w:color="auto"/>
              <w:right w:val="single" w:sz="4" w:space="0" w:color="auto"/>
            </w:tcBorders>
            <w:shd w:val="clear" w:color="auto" w:fill="auto"/>
            <w:hideMark/>
          </w:tcPr>
          <w:p w14:paraId="15ABBBB8"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3400" w:type="dxa"/>
            <w:tcBorders>
              <w:top w:val="nil"/>
              <w:left w:val="nil"/>
              <w:bottom w:val="single" w:sz="4" w:space="0" w:color="auto"/>
              <w:right w:val="single" w:sz="4" w:space="0" w:color="auto"/>
            </w:tcBorders>
            <w:shd w:val="clear" w:color="auto" w:fill="auto"/>
            <w:hideMark/>
          </w:tcPr>
          <w:p w14:paraId="15ABBBB9"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may occur only in exceptional circumstances</w:t>
            </w:r>
          </w:p>
        </w:tc>
        <w:tc>
          <w:tcPr>
            <w:tcW w:w="4080" w:type="dxa"/>
            <w:tcBorders>
              <w:top w:val="nil"/>
              <w:left w:val="nil"/>
              <w:bottom w:val="single" w:sz="4" w:space="0" w:color="auto"/>
              <w:right w:val="single" w:sz="4" w:space="0" w:color="auto"/>
            </w:tcBorders>
            <w:shd w:val="clear" w:color="auto" w:fill="auto"/>
            <w:hideMark/>
          </w:tcPr>
          <w:p w14:paraId="15ABBBBA"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100 years</w:t>
            </w:r>
          </w:p>
        </w:tc>
      </w:tr>
    </w:tbl>
    <w:p w14:paraId="15ABBBBC" w14:textId="77777777" w:rsidR="008E2D6E" w:rsidRPr="008E2D6E" w:rsidRDefault="008E2D6E" w:rsidP="008E2D6E">
      <w:pPr>
        <w:spacing w:after="0" w:line="240" w:lineRule="auto"/>
        <w:rPr>
          <w:rFonts w:eastAsiaTheme="minorHAnsi" w:cstheme="minorBidi"/>
          <w:szCs w:val="21"/>
        </w:rPr>
      </w:pPr>
    </w:p>
    <w:p w14:paraId="15ABBBBD" w14:textId="77777777" w:rsidR="008E2D6E" w:rsidRDefault="008E2D6E" w:rsidP="008E2D6E">
      <w:pPr>
        <w:spacing w:after="0" w:line="240" w:lineRule="auto"/>
        <w:rPr>
          <w:rFonts w:eastAsiaTheme="minorHAnsi" w:cstheme="minorBidi"/>
          <w:szCs w:val="21"/>
        </w:rPr>
      </w:pPr>
    </w:p>
    <w:p w14:paraId="15ABBBBE" w14:textId="77777777" w:rsidR="00D010D9" w:rsidRPr="008E2D6E" w:rsidRDefault="00D010D9" w:rsidP="008E2D6E">
      <w:pPr>
        <w:spacing w:after="0" w:line="240" w:lineRule="auto"/>
        <w:rPr>
          <w:rFonts w:eastAsiaTheme="minorHAnsi" w:cstheme="minorBidi"/>
          <w:szCs w:val="21"/>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458"/>
        <w:gridCol w:w="1598"/>
        <w:gridCol w:w="1458"/>
        <w:gridCol w:w="1659"/>
        <w:gridCol w:w="1452"/>
      </w:tblGrid>
      <w:tr w:rsidR="008E2D6E" w:rsidRPr="008E2D6E" w14:paraId="15ABBBC0" w14:textId="77777777" w:rsidTr="006761C5">
        <w:trPr>
          <w:trHeight w:val="300"/>
        </w:trPr>
        <w:tc>
          <w:tcPr>
            <w:tcW w:w="9229" w:type="dxa"/>
            <w:gridSpan w:val="6"/>
            <w:shd w:val="clear" w:color="auto" w:fill="auto"/>
            <w:vAlign w:val="center"/>
          </w:tcPr>
          <w:p w14:paraId="15ABBBBF" w14:textId="77777777" w:rsidR="008E2D6E" w:rsidRPr="008E2D6E" w:rsidRDefault="008E2D6E" w:rsidP="008E2D6E">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Consequence Table</w:t>
            </w:r>
          </w:p>
        </w:tc>
      </w:tr>
      <w:tr w:rsidR="008E2D6E" w:rsidRPr="008E2D6E" w14:paraId="15ABBBC7" w14:textId="77777777" w:rsidTr="006761C5">
        <w:trPr>
          <w:trHeight w:val="300"/>
        </w:trPr>
        <w:tc>
          <w:tcPr>
            <w:tcW w:w="1604" w:type="dxa"/>
            <w:shd w:val="clear" w:color="auto" w:fill="auto"/>
            <w:vAlign w:val="bottom"/>
            <w:hideMark/>
          </w:tcPr>
          <w:p w14:paraId="15ABBBC1"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Consequence</w:t>
            </w:r>
          </w:p>
        </w:tc>
        <w:tc>
          <w:tcPr>
            <w:tcW w:w="1458" w:type="dxa"/>
            <w:shd w:val="clear" w:color="000000" w:fill="76933C"/>
            <w:vAlign w:val="bottom"/>
            <w:hideMark/>
          </w:tcPr>
          <w:p w14:paraId="15ABBBC2"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Insignificant</w:t>
            </w:r>
          </w:p>
        </w:tc>
        <w:tc>
          <w:tcPr>
            <w:tcW w:w="1598" w:type="dxa"/>
            <w:shd w:val="clear" w:color="000000" w:fill="76933C"/>
            <w:vAlign w:val="bottom"/>
            <w:hideMark/>
          </w:tcPr>
          <w:p w14:paraId="15ABBBC3"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Minor</w:t>
            </w:r>
          </w:p>
        </w:tc>
        <w:tc>
          <w:tcPr>
            <w:tcW w:w="1458" w:type="dxa"/>
            <w:shd w:val="clear" w:color="000000" w:fill="76933C"/>
            <w:vAlign w:val="bottom"/>
            <w:hideMark/>
          </w:tcPr>
          <w:p w14:paraId="15ABBBC4"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Moderate</w:t>
            </w:r>
          </w:p>
        </w:tc>
        <w:tc>
          <w:tcPr>
            <w:tcW w:w="1659" w:type="dxa"/>
            <w:shd w:val="clear" w:color="000000" w:fill="76933C"/>
            <w:vAlign w:val="bottom"/>
            <w:hideMark/>
          </w:tcPr>
          <w:p w14:paraId="15ABBBC5"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Major</w:t>
            </w:r>
          </w:p>
        </w:tc>
        <w:tc>
          <w:tcPr>
            <w:tcW w:w="1452" w:type="dxa"/>
            <w:shd w:val="clear" w:color="000000" w:fill="76933C"/>
            <w:vAlign w:val="bottom"/>
            <w:hideMark/>
          </w:tcPr>
          <w:p w14:paraId="15ABBBC6" w14:textId="77777777" w:rsidR="008E2D6E" w:rsidRPr="008E2D6E" w:rsidRDefault="008E2D6E" w:rsidP="008E2D6E">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Catastrophic</w:t>
            </w:r>
          </w:p>
        </w:tc>
      </w:tr>
      <w:tr w:rsidR="008E2D6E" w:rsidRPr="008E2D6E" w14:paraId="15ABBBCE" w14:textId="77777777" w:rsidTr="006761C5">
        <w:trPr>
          <w:trHeight w:val="1200"/>
        </w:trPr>
        <w:tc>
          <w:tcPr>
            <w:tcW w:w="1604" w:type="dxa"/>
            <w:shd w:val="clear" w:color="auto" w:fill="auto"/>
            <w:hideMark/>
          </w:tcPr>
          <w:p w14:paraId="15ABBBC8" w14:textId="77777777" w:rsidR="008E2D6E" w:rsidRPr="008E2D6E" w:rsidRDefault="008E2D6E" w:rsidP="008E2D6E">
            <w:pPr>
              <w:spacing w:after="0" w:line="240" w:lineRule="auto"/>
              <w:rPr>
                <w:rFonts w:ascii="Arial" w:eastAsia="Times New Roman" w:hAnsi="Arial" w:cs="Arial"/>
                <w:lang w:eastAsia="en-AU"/>
              </w:rPr>
            </w:pPr>
            <w:r w:rsidRPr="008E2D6E">
              <w:rPr>
                <w:rFonts w:ascii="Arial" w:eastAsia="Times New Roman" w:hAnsi="Arial" w:cs="Arial"/>
                <w:color w:val="000000"/>
                <w:lang w:eastAsia="en-AU"/>
              </w:rPr>
              <w:t xml:space="preserve">Financial and Economic </w:t>
            </w:r>
            <w:r w:rsidRPr="008E2D6E">
              <w:rPr>
                <w:rFonts w:ascii="Arial" w:eastAsia="Times New Roman" w:hAnsi="Arial" w:cs="Arial"/>
                <w:lang w:eastAsia="en-AU"/>
              </w:rPr>
              <w:t xml:space="preserve"> </w:t>
            </w:r>
          </w:p>
        </w:tc>
        <w:tc>
          <w:tcPr>
            <w:tcW w:w="1458" w:type="dxa"/>
            <w:shd w:val="clear" w:color="auto" w:fill="auto"/>
            <w:hideMark/>
          </w:tcPr>
          <w:p w14:paraId="15ABBBC9" w14:textId="77777777" w:rsidR="008E2D6E" w:rsidRPr="008E2D6E" w:rsidRDefault="008E2D6E" w:rsidP="008E2D6E">
            <w:pPr>
              <w:spacing w:after="0" w:line="240" w:lineRule="auto"/>
              <w:rPr>
                <w:rFonts w:ascii="Arial" w:eastAsia="Times New Roman" w:hAnsi="Arial" w:cs="Arial"/>
                <w:lang w:eastAsia="en-AU"/>
              </w:rPr>
            </w:pPr>
            <w:r w:rsidRPr="008E2D6E">
              <w:rPr>
                <w:rFonts w:ascii="Arial" w:eastAsia="Times New Roman" w:hAnsi="Arial" w:cs="Arial"/>
                <w:color w:val="000000"/>
                <w:lang w:eastAsia="en-AU"/>
              </w:rPr>
              <w:t>Small financial loss that can be absorbed by the church /parish /school /facility /department</w:t>
            </w:r>
          </w:p>
        </w:tc>
        <w:tc>
          <w:tcPr>
            <w:tcW w:w="1598" w:type="dxa"/>
            <w:shd w:val="clear" w:color="auto" w:fill="auto"/>
            <w:hideMark/>
          </w:tcPr>
          <w:p w14:paraId="15ABBBCA" w14:textId="77777777" w:rsidR="008E2D6E" w:rsidRPr="008E2D6E" w:rsidRDefault="008E2D6E" w:rsidP="008E2D6E">
            <w:pPr>
              <w:spacing w:after="0" w:line="240" w:lineRule="auto"/>
              <w:rPr>
                <w:rFonts w:ascii="Arial" w:eastAsia="Times New Roman" w:hAnsi="Arial" w:cs="Arial"/>
                <w:lang w:eastAsia="en-AU"/>
              </w:rPr>
            </w:pPr>
            <w:r w:rsidRPr="008E2D6E">
              <w:rPr>
                <w:rFonts w:ascii="Arial" w:eastAsia="Times New Roman" w:hAnsi="Arial" w:cs="Arial"/>
                <w:color w:val="000000"/>
                <w:lang w:eastAsia="en-AU"/>
              </w:rPr>
              <w:t>Financial loss requiring reprioritisation and/or reallocation of available church /parish /school /facility /department funds.</w:t>
            </w:r>
          </w:p>
        </w:tc>
        <w:tc>
          <w:tcPr>
            <w:tcW w:w="1458" w:type="dxa"/>
            <w:shd w:val="clear" w:color="auto" w:fill="auto"/>
            <w:hideMark/>
          </w:tcPr>
          <w:p w14:paraId="15ABBBCB" w14:textId="77777777" w:rsidR="008E2D6E" w:rsidRPr="008E2D6E" w:rsidRDefault="008E2D6E" w:rsidP="008E2D6E">
            <w:pPr>
              <w:spacing w:after="0" w:line="240" w:lineRule="auto"/>
              <w:rPr>
                <w:rFonts w:ascii="Arial" w:eastAsia="Times New Roman" w:hAnsi="Arial" w:cs="Arial"/>
                <w:lang w:eastAsia="en-AU"/>
              </w:rPr>
            </w:pPr>
            <w:r w:rsidRPr="008E2D6E">
              <w:rPr>
                <w:rFonts w:ascii="Arial" w:eastAsia="Times New Roman" w:hAnsi="Arial" w:cs="Arial"/>
                <w:color w:val="000000"/>
                <w:lang w:eastAsia="en-AU"/>
              </w:rPr>
              <w:t xml:space="preserve">Significant financial loss requiring special allocation of church /parish /school /facility /department funds. </w:t>
            </w:r>
            <w:r w:rsidRPr="008E2D6E">
              <w:rPr>
                <w:rFonts w:ascii="Arial" w:eastAsia="Times New Roman" w:hAnsi="Arial" w:cs="Arial"/>
                <w:lang w:eastAsia="en-AU"/>
              </w:rPr>
              <w:t xml:space="preserve"> </w:t>
            </w:r>
          </w:p>
        </w:tc>
        <w:tc>
          <w:tcPr>
            <w:tcW w:w="1659" w:type="dxa"/>
            <w:shd w:val="clear" w:color="auto" w:fill="auto"/>
            <w:hideMark/>
          </w:tcPr>
          <w:p w14:paraId="15ABBBCC" w14:textId="77777777" w:rsidR="008E2D6E" w:rsidRPr="008E2D6E" w:rsidRDefault="008E2D6E" w:rsidP="008E2D6E">
            <w:pPr>
              <w:spacing w:after="0" w:line="240" w:lineRule="auto"/>
              <w:rPr>
                <w:rFonts w:ascii="Arial" w:eastAsia="Times New Roman" w:hAnsi="Arial" w:cs="Arial"/>
                <w:lang w:eastAsia="en-AU"/>
              </w:rPr>
            </w:pPr>
            <w:r w:rsidRPr="008E2D6E">
              <w:rPr>
                <w:rFonts w:ascii="Arial" w:eastAsia="Times New Roman" w:hAnsi="Arial" w:cs="Arial"/>
                <w:color w:val="000000"/>
                <w:lang w:eastAsia="en-AU"/>
              </w:rPr>
              <w:t xml:space="preserve">Major financial loss with severe departmental impact and requiring supplementary church /parish /school /facility /department funding. </w:t>
            </w:r>
            <w:r w:rsidRPr="008E2D6E">
              <w:rPr>
                <w:rFonts w:ascii="Arial" w:eastAsia="Times New Roman" w:hAnsi="Arial" w:cs="Arial"/>
                <w:lang w:eastAsia="en-AU"/>
              </w:rPr>
              <w:t xml:space="preserve"> </w:t>
            </w:r>
          </w:p>
        </w:tc>
        <w:tc>
          <w:tcPr>
            <w:tcW w:w="1452" w:type="dxa"/>
            <w:shd w:val="clear" w:color="auto" w:fill="auto"/>
            <w:hideMark/>
          </w:tcPr>
          <w:p w14:paraId="15ABBBCD" w14:textId="77777777" w:rsidR="008E2D6E" w:rsidRPr="008E2D6E" w:rsidRDefault="008E2D6E" w:rsidP="008E2D6E">
            <w:pPr>
              <w:spacing w:after="0" w:line="240" w:lineRule="auto"/>
              <w:rPr>
                <w:rFonts w:ascii="Arial" w:eastAsia="Times New Roman" w:hAnsi="Arial" w:cs="Arial"/>
                <w:lang w:eastAsia="en-AU"/>
              </w:rPr>
            </w:pPr>
            <w:r w:rsidRPr="008E2D6E">
              <w:rPr>
                <w:rFonts w:ascii="Arial" w:eastAsia="Times New Roman" w:hAnsi="Arial" w:cs="Arial"/>
                <w:color w:val="000000"/>
                <w:lang w:eastAsia="en-AU"/>
              </w:rPr>
              <w:t xml:space="preserve">Disastrous financial loss with severe church /parish /school /facility /department impact or district impact. </w:t>
            </w:r>
            <w:r w:rsidRPr="008E2D6E">
              <w:rPr>
                <w:rFonts w:ascii="Arial" w:eastAsia="Times New Roman" w:hAnsi="Arial" w:cs="Arial"/>
                <w:lang w:eastAsia="en-AU"/>
              </w:rPr>
              <w:t xml:space="preserve"> </w:t>
            </w:r>
          </w:p>
        </w:tc>
      </w:tr>
    </w:tbl>
    <w:p w14:paraId="15ABBBCF" w14:textId="77777777" w:rsidR="008E2D6E" w:rsidRPr="008E2D6E" w:rsidRDefault="008E2D6E" w:rsidP="008E2D6E">
      <w:pPr>
        <w:spacing w:after="0" w:line="240" w:lineRule="auto"/>
        <w:rPr>
          <w:rFonts w:eastAsiaTheme="minorHAnsi" w:cstheme="minorBidi"/>
          <w:szCs w:val="21"/>
        </w:rPr>
      </w:pPr>
    </w:p>
    <w:p w14:paraId="15ABBBD0" w14:textId="77777777" w:rsidR="008E2D6E" w:rsidRPr="008E2D6E" w:rsidRDefault="008E2D6E" w:rsidP="008E2D6E">
      <w:pPr>
        <w:spacing w:after="0" w:line="240" w:lineRule="auto"/>
        <w:rPr>
          <w:rFonts w:ascii="Arial" w:eastAsiaTheme="minorHAnsi" w:hAnsi="Arial" w:cs="Arial"/>
          <w:szCs w:val="21"/>
        </w:rPr>
      </w:pPr>
    </w:p>
    <w:p w14:paraId="15ABBBD1" w14:textId="77777777" w:rsidR="008E2D6E" w:rsidRPr="008E2D6E" w:rsidRDefault="008E2D6E" w:rsidP="008E2D6E">
      <w:pPr>
        <w:spacing w:after="0" w:line="240" w:lineRule="auto"/>
        <w:rPr>
          <w:rFonts w:ascii="Arial" w:eastAsiaTheme="minorHAnsi" w:hAnsi="Arial" w:cs="Arial"/>
          <w:szCs w:val="21"/>
        </w:rPr>
      </w:pPr>
      <w:r w:rsidRPr="008E2D6E">
        <w:rPr>
          <w:rFonts w:ascii="Arial" w:eastAsiaTheme="minorHAnsi" w:hAnsi="Arial" w:cs="Arial"/>
          <w:szCs w:val="21"/>
        </w:rPr>
        <w:t>Opportunity Category</w:t>
      </w:r>
    </w:p>
    <w:p w14:paraId="15ABBBD2" w14:textId="77777777" w:rsidR="008E2D6E" w:rsidRDefault="008E2D6E" w:rsidP="008E2D6E">
      <w:pPr>
        <w:pStyle w:val="ListParagraph"/>
        <w:ind w:left="0"/>
        <w:rPr>
          <w:rFonts w:ascii="Arial" w:hAnsi="Arial" w:cs="Arial"/>
        </w:rPr>
      </w:pPr>
      <w:r w:rsidRPr="008E2D6E">
        <w:rPr>
          <w:rFonts w:ascii="Arial" w:hAnsi="Arial" w:cs="Arial"/>
        </w:rPr>
        <w:t>A description of the business or mission opportunity this application is in support of is to be described.   It is expected the opportunities will relate to one or more of the Focus Areas described in the template</w:t>
      </w:r>
      <w:r w:rsidR="00D010D9">
        <w:rPr>
          <w:rFonts w:ascii="Arial" w:hAnsi="Arial" w:cs="Arial"/>
        </w:rPr>
        <w:t>.</w:t>
      </w:r>
    </w:p>
    <w:sectPr w:rsidR="008E2D6E" w:rsidSect="00EE01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BBBD5" w14:textId="77777777" w:rsidR="006E7474" w:rsidRDefault="006E7474" w:rsidP="009B0485">
      <w:pPr>
        <w:spacing w:after="0" w:line="240" w:lineRule="auto"/>
      </w:pPr>
      <w:r>
        <w:separator/>
      </w:r>
    </w:p>
  </w:endnote>
  <w:endnote w:type="continuationSeparator" w:id="0">
    <w:p w14:paraId="15ABBBD6" w14:textId="77777777" w:rsidR="006E7474" w:rsidRDefault="006E7474" w:rsidP="009B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EA45" w14:textId="77777777" w:rsidR="00156F89" w:rsidRDefault="00156F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BBDC" w14:textId="77777777" w:rsidR="006C63A7" w:rsidRDefault="006C63A7" w:rsidP="00EF2ABB">
    <w:pPr>
      <w:pStyle w:val="Footer"/>
      <w:jc w:val="center"/>
      <w:rPr>
        <w:rFonts w:ascii="Arial" w:hAnsi="Arial" w:cs="Arial"/>
        <w:b/>
      </w:rPr>
    </w:pPr>
    <w:r w:rsidRPr="00AC2262">
      <w:rPr>
        <w:rFonts w:ascii="Arial" w:hAnsi="Arial" w:cs="Arial"/>
        <w:b/>
      </w:rPr>
      <w:t>Commercial- in- Confidence</w:t>
    </w:r>
  </w:p>
  <w:bookmarkStart w:id="0" w:name="_GoBack"/>
  <w:p w14:paraId="15ABBBDD" w14:textId="4664AD6E" w:rsidR="006C63A7" w:rsidRPr="00CD131D" w:rsidRDefault="006C63A7" w:rsidP="006749D1">
    <w:pPr>
      <w:pStyle w:val="Footer"/>
      <w:jc w:val="center"/>
      <w:rPr>
        <w:rFonts w:ascii="Arial" w:hAnsi="Arial" w:cs="Arial"/>
        <w:sz w:val="16"/>
        <w:szCs w:val="16"/>
      </w:rPr>
    </w:pPr>
    <w:r w:rsidRPr="00CD131D">
      <w:rPr>
        <w:rFonts w:ascii="Arial" w:hAnsi="Arial" w:cs="Arial"/>
        <w:sz w:val="16"/>
        <w:szCs w:val="16"/>
      </w:rPr>
      <w:fldChar w:fldCharType="begin"/>
    </w:r>
    <w:r w:rsidRPr="00CD131D">
      <w:rPr>
        <w:rFonts w:ascii="Arial" w:hAnsi="Arial" w:cs="Arial"/>
        <w:sz w:val="16"/>
        <w:szCs w:val="16"/>
      </w:rPr>
      <w:instrText xml:space="preserve"> FILENAME  \p  \* MERGEFORMAT </w:instrText>
    </w:r>
    <w:r w:rsidRPr="00CD131D">
      <w:rPr>
        <w:rFonts w:ascii="Arial" w:hAnsi="Arial" w:cs="Arial"/>
        <w:sz w:val="16"/>
        <w:szCs w:val="16"/>
      </w:rPr>
      <w:fldChar w:fldCharType="separate"/>
    </w:r>
    <w:r w:rsidR="00156F89">
      <w:rPr>
        <w:rFonts w:ascii="Arial" w:hAnsi="Arial" w:cs="Arial"/>
        <w:noProof/>
        <w:sz w:val="16"/>
        <w:szCs w:val="16"/>
      </w:rPr>
      <w:t>https://leq.sharepoint.com/sites/lcaqd.common/lcaqd.admin/LCAQD Admin/DCC/Governance LCAQD/Seal and Templates/New Borrowing Limit/190226 New Borrowing Limit Support Info Protocol and Guidelins V1-2.docx</w:t>
    </w:r>
    <w:r w:rsidRPr="00CD131D">
      <w:rPr>
        <w:rFonts w:ascii="Arial" w:hAnsi="Arial" w:cs="Arial"/>
        <w:sz w:val="16"/>
        <w:szCs w:val="16"/>
      </w:rPr>
      <w:fldChar w:fldCharType="end"/>
    </w:r>
    <w:r w:rsidR="00E15F9E">
      <w:rPr>
        <w:rFonts w:ascii="Arial" w:hAnsi="Arial" w:cs="Arial"/>
        <w:sz w:val="16"/>
        <w:szCs w:val="16"/>
      </w:rPr>
      <w:t xml:space="preserve">  </w:t>
    </w:r>
    <w:bookmarkEnd w:id="0"/>
    <w:r w:rsidR="0088496B">
      <w:rPr>
        <w:rFonts w:ascii="Arial" w:hAnsi="Arial" w:cs="Arial"/>
        <w:sz w:val="16"/>
        <w:szCs w:val="16"/>
      </w:rPr>
      <w:t>Version 1.0 Approved at DCC 27</w:t>
    </w:r>
    <w:r w:rsidR="00660CC4">
      <w:rPr>
        <w:rFonts w:ascii="Arial" w:hAnsi="Arial" w:cs="Arial"/>
        <w:sz w:val="16"/>
        <w:szCs w:val="16"/>
      </w:rPr>
      <w:t xml:space="preserve"> </w:t>
    </w:r>
    <w:r w:rsidR="005C51E0">
      <w:rPr>
        <w:rFonts w:ascii="Arial" w:hAnsi="Arial" w:cs="Arial"/>
        <w:sz w:val="16"/>
        <w:szCs w:val="16"/>
      </w:rPr>
      <w:t>Oct</w:t>
    </w:r>
    <w:r>
      <w:rPr>
        <w:rFonts w:ascii="Arial" w:hAnsi="Arial" w:cs="Arial"/>
        <w:sz w:val="16"/>
        <w:szCs w:val="16"/>
      </w:rPr>
      <w:t xml:space="preserve"> 2011 </w:t>
    </w:r>
  </w:p>
  <w:p w14:paraId="15ABBBDE" w14:textId="1ADF6BE8" w:rsidR="006C63A7" w:rsidRDefault="006C63A7" w:rsidP="006749D1">
    <w:pPr>
      <w:pStyle w:val="Footer"/>
      <w:jc w:val="center"/>
    </w:pPr>
    <w:r>
      <w:fldChar w:fldCharType="begin"/>
    </w:r>
    <w:r>
      <w:instrText xml:space="preserve"> PAGE  \* ArabicDash  \* MERGEFORMAT </w:instrText>
    </w:r>
    <w:r>
      <w:fldChar w:fldCharType="separate"/>
    </w:r>
    <w:r w:rsidR="00156F89">
      <w:rPr>
        <w:noProof/>
      </w:rPr>
      <w:t>- 3 -</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6698" w14:textId="77777777" w:rsidR="00156F89" w:rsidRDefault="00156F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BBD3" w14:textId="77777777" w:rsidR="006E7474" w:rsidRDefault="006E7474" w:rsidP="009B0485">
      <w:pPr>
        <w:spacing w:after="0" w:line="240" w:lineRule="auto"/>
      </w:pPr>
      <w:r>
        <w:separator/>
      </w:r>
    </w:p>
  </w:footnote>
  <w:footnote w:type="continuationSeparator" w:id="0">
    <w:p w14:paraId="15ABBBD4" w14:textId="77777777" w:rsidR="006E7474" w:rsidRDefault="006E7474" w:rsidP="009B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BEA4" w14:textId="77777777" w:rsidR="00156F89" w:rsidRDefault="00156F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BBD7" w14:textId="77777777" w:rsidR="006C63A7" w:rsidRPr="00AC2262" w:rsidRDefault="006C63A7" w:rsidP="00EF2ABB">
    <w:pPr>
      <w:pStyle w:val="Footer"/>
      <w:jc w:val="center"/>
      <w:rPr>
        <w:rFonts w:ascii="Arial" w:hAnsi="Arial" w:cs="Arial"/>
        <w:b/>
      </w:rPr>
    </w:pPr>
    <w:r w:rsidRPr="00EF2ABB">
      <w:rPr>
        <w:rFonts w:ascii="Arial" w:hAnsi="Arial" w:cs="Arial"/>
        <w:b/>
        <w:noProof/>
        <w:sz w:val="28"/>
        <w:szCs w:val="28"/>
        <w:lang w:eastAsia="en-AU"/>
      </w:rPr>
      <w:drawing>
        <wp:anchor distT="0" distB="0" distL="114300" distR="114300" simplePos="0" relativeHeight="251658240" behindDoc="1" locked="0" layoutInCell="1" allowOverlap="1" wp14:anchorId="15ABBBDF" wp14:editId="15ABBBE0">
          <wp:simplePos x="0" y="0"/>
          <wp:positionH relativeFrom="column">
            <wp:posOffset>5572125</wp:posOffset>
          </wp:positionH>
          <wp:positionV relativeFrom="paragraph">
            <wp:posOffset>-87630</wp:posOffset>
          </wp:positionV>
          <wp:extent cx="733425" cy="733425"/>
          <wp:effectExtent l="0" t="0" r="9525" b="9525"/>
          <wp:wrapTight wrapText="bothSides">
            <wp:wrapPolygon edited="0">
              <wp:start x="0" y="0"/>
              <wp:lineTo x="0" y="21319"/>
              <wp:lineTo x="21319" y="21319"/>
              <wp:lineTo x="21319" y="0"/>
              <wp:lineTo x="0" y="0"/>
            </wp:wrapPolygon>
          </wp:wrapTight>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262">
      <w:rPr>
        <w:rFonts w:ascii="Arial" w:hAnsi="Arial" w:cs="Arial"/>
        <w:b/>
      </w:rPr>
      <w:t>Commercial- in- Confidence</w:t>
    </w:r>
  </w:p>
  <w:p w14:paraId="15ABBBD8" w14:textId="77777777" w:rsidR="006C63A7" w:rsidRDefault="006C63A7">
    <w:pPr>
      <w:pStyle w:val="Header"/>
      <w:rPr>
        <w:b/>
        <w:sz w:val="32"/>
        <w:szCs w:val="32"/>
      </w:rPr>
    </w:pPr>
  </w:p>
  <w:p w14:paraId="15ABBBD9" w14:textId="77777777" w:rsidR="006C63A7" w:rsidRDefault="005C51E0" w:rsidP="005C51E0">
    <w:pPr>
      <w:pStyle w:val="Header"/>
      <w:jc w:val="center"/>
      <w:rPr>
        <w:rFonts w:ascii="Arial" w:hAnsi="Arial" w:cs="Arial"/>
        <w:b/>
        <w:sz w:val="28"/>
        <w:szCs w:val="28"/>
      </w:rPr>
    </w:pPr>
    <w:r>
      <w:rPr>
        <w:rFonts w:ascii="Arial" w:hAnsi="Arial" w:cs="Arial"/>
        <w:b/>
        <w:sz w:val="28"/>
        <w:szCs w:val="28"/>
      </w:rPr>
      <w:t>LCAQD DCC</w:t>
    </w:r>
    <w:r w:rsidR="006C63A7" w:rsidRPr="00EF2ABB">
      <w:rPr>
        <w:rFonts w:ascii="Arial" w:hAnsi="Arial" w:cs="Arial"/>
        <w:b/>
        <w:sz w:val="28"/>
        <w:szCs w:val="28"/>
      </w:rPr>
      <w:t xml:space="preserve"> Decision Required – New Borrowing Limit</w:t>
    </w:r>
  </w:p>
  <w:p w14:paraId="15ABBBDA" w14:textId="77777777" w:rsidR="0088496B" w:rsidRPr="00EF2ABB" w:rsidRDefault="0088496B" w:rsidP="005C51E0">
    <w:pPr>
      <w:pStyle w:val="Header"/>
      <w:jc w:val="center"/>
      <w:rPr>
        <w:rFonts w:ascii="Arial" w:hAnsi="Arial" w:cs="Arial"/>
        <w:b/>
        <w:sz w:val="28"/>
        <w:szCs w:val="28"/>
      </w:rPr>
    </w:pPr>
    <w:r>
      <w:rPr>
        <w:rFonts w:ascii="Arial" w:hAnsi="Arial" w:cs="Arial"/>
        <w:b/>
        <w:sz w:val="28"/>
        <w:szCs w:val="28"/>
      </w:rPr>
      <w:t>Protocol and Guidelines</w:t>
    </w:r>
  </w:p>
  <w:p w14:paraId="15ABBBDB" w14:textId="77777777" w:rsidR="006C63A7" w:rsidRDefault="006C63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753D" w14:textId="77777777" w:rsidR="00156F89" w:rsidRDefault="00156F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532"/>
    <w:multiLevelType w:val="hybridMultilevel"/>
    <w:tmpl w:val="820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7DA7"/>
    <w:multiLevelType w:val="hybridMultilevel"/>
    <w:tmpl w:val="6E96010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8B2348"/>
    <w:multiLevelType w:val="hybridMultilevel"/>
    <w:tmpl w:val="F0DAA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53EEC"/>
    <w:multiLevelType w:val="hybridMultilevel"/>
    <w:tmpl w:val="50261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B6D86"/>
    <w:multiLevelType w:val="hybridMultilevel"/>
    <w:tmpl w:val="161EF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0A77B97"/>
    <w:multiLevelType w:val="hybridMultilevel"/>
    <w:tmpl w:val="4A9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0495E"/>
    <w:multiLevelType w:val="singleLevel"/>
    <w:tmpl w:val="DA6A8EA2"/>
    <w:lvl w:ilvl="0">
      <w:start w:val="1"/>
      <w:numFmt w:val="lowerLetter"/>
      <w:lvlText w:val="(%1)"/>
      <w:legacy w:legacy="1" w:legacySpace="0" w:legacyIndent="360"/>
      <w:lvlJc w:val="left"/>
      <w:pPr>
        <w:ind w:left="1080" w:hanging="360"/>
      </w:pPr>
      <w:rPr>
        <w:rFonts w:cs="Times New Roman"/>
      </w:rPr>
    </w:lvl>
  </w:abstractNum>
  <w:abstractNum w:abstractNumId="7" w15:restartNumberingAfterBreak="0">
    <w:nsid w:val="644859B2"/>
    <w:multiLevelType w:val="hybridMultilevel"/>
    <w:tmpl w:val="9E1C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F4665"/>
    <w:multiLevelType w:val="hybridMultilevel"/>
    <w:tmpl w:val="BE52C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A6C4CA7"/>
    <w:multiLevelType w:val="hybridMultilevel"/>
    <w:tmpl w:val="BA280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CF3B3E"/>
    <w:multiLevelType w:val="hybridMultilevel"/>
    <w:tmpl w:val="4830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lowerLetter"/>
        <w:lvlText w:val="(%1)"/>
        <w:legacy w:legacy="1" w:legacySpace="0" w:legacyIndent="360"/>
        <w:lvlJc w:val="left"/>
        <w:pPr>
          <w:ind w:left="1080" w:hanging="360"/>
        </w:pPr>
        <w:rPr>
          <w:rFonts w:cs="Times New Roman"/>
        </w:rPr>
      </w:lvl>
    </w:lvlOverride>
  </w:num>
  <w:num w:numId="2">
    <w:abstractNumId w:val="10"/>
  </w:num>
  <w:num w:numId="3">
    <w:abstractNumId w:val="7"/>
  </w:num>
  <w:num w:numId="4">
    <w:abstractNumId w:val="0"/>
  </w:num>
  <w:num w:numId="5">
    <w:abstractNumId w:val="2"/>
  </w:num>
  <w:num w:numId="6">
    <w:abstractNumId w:val="9"/>
  </w:num>
  <w:num w:numId="7">
    <w:abstractNumId w:val="1"/>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C2"/>
    <w:rsid w:val="00045101"/>
    <w:rsid w:val="00056A75"/>
    <w:rsid w:val="00075E55"/>
    <w:rsid w:val="00156F89"/>
    <w:rsid w:val="00191453"/>
    <w:rsid w:val="00193E37"/>
    <w:rsid w:val="001B324B"/>
    <w:rsid w:val="001B489E"/>
    <w:rsid w:val="00264C8F"/>
    <w:rsid w:val="00294FCF"/>
    <w:rsid w:val="00441E52"/>
    <w:rsid w:val="00451ADD"/>
    <w:rsid w:val="00490969"/>
    <w:rsid w:val="00530CA1"/>
    <w:rsid w:val="005B71C9"/>
    <w:rsid w:val="005C4251"/>
    <w:rsid w:val="005C51E0"/>
    <w:rsid w:val="005D7C38"/>
    <w:rsid w:val="005E1BA7"/>
    <w:rsid w:val="00627B5A"/>
    <w:rsid w:val="0064470E"/>
    <w:rsid w:val="00660CC4"/>
    <w:rsid w:val="006749D1"/>
    <w:rsid w:val="006761C5"/>
    <w:rsid w:val="006C63A7"/>
    <w:rsid w:val="006E1280"/>
    <w:rsid w:val="006E7474"/>
    <w:rsid w:val="007111FA"/>
    <w:rsid w:val="0072149E"/>
    <w:rsid w:val="007271DE"/>
    <w:rsid w:val="00751E4C"/>
    <w:rsid w:val="007642D4"/>
    <w:rsid w:val="00794B69"/>
    <w:rsid w:val="007977BB"/>
    <w:rsid w:val="008565ED"/>
    <w:rsid w:val="0086150E"/>
    <w:rsid w:val="00861CF0"/>
    <w:rsid w:val="00864161"/>
    <w:rsid w:val="00883A5A"/>
    <w:rsid w:val="0088496B"/>
    <w:rsid w:val="00886767"/>
    <w:rsid w:val="008E2D6E"/>
    <w:rsid w:val="0093599A"/>
    <w:rsid w:val="00942ED8"/>
    <w:rsid w:val="009462C2"/>
    <w:rsid w:val="0098023A"/>
    <w:rsid w:val="009B0485"/>
    <w:rsid w:val="009C6671"/>
    <w:rsid w:val="009F11DD"/>
    <w:rsid w:val="00A11B0B"/>
    <w:rsid w:val="00A22D5C"/>
    <w:rsid w:val="00A74AE5"/>
    <w:rsid w:val="00B7168D"/>
    <w:rsid w:val="00B85C5C"/>
    <w:rsid w:val="00BC2A2C"/>
    <w:rsid w:val="00BE7A09"/>
    <w:rsid w:val="00C2311C"/>
    <w:rsid w:val="00C44E1B"/>
    <w:rsid w:val="00C612DB"/>
    <w:rsid w:val="00C9438E"/>
    <w:rsid w:val="00CC5ECF"/>
    <w:rsid w:val="00CE3630"/>
    <w:rsid w:val="00D010D9"/>
    <w:rsid w:val="00D37DBF"/>
    <w:rsid w:val="00D66A04"/>
    <w:rsid w:val="00E15F9E"/>
    <w:rsid w:val="00E332D4"/>
    <w:rsid w:val="00E4384A"/>
    <w:rsid w:val="00E72BC0"/>
    <w:rsid w:val="00ED5BE0"/>
    <w:rsid w:val="00EE0191"/>
    <w:rsid w:val="00EF2ABB"/>
    <w:rsid w:val="00F346DD"/>
    <w:rsid w:val="00F7258C"/>
    <w:rsid w:val="00F9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ABBB3F"/>
  <w15:docId w15:val="{A4BABBEB-8711-4D25-A2BA-7E05A2B4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C2"/>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85"/>
    <w:rPr>
      <w:rFonts w:ascii="Calibri" w:eastAsia="Calibri" w:hAnsi="Calibri" w:cs="Times New Roman"/>
      <w:lang w:val="en-AU"/>
    </w:rPr>
  </w:style>
  <w:style w:type="paragraph" w:styleId="Footer">
    <w:name w:val="footer"/>
    <w:basedOn w:val="Normal"/>
    <w:link w:val="FooterChar"/>
    <w:uiPriority w:val="99"/>
    <w:unhideWhenUsed/>
    <w:rsid w:val="009B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85"/>
    <w:rPr>
      <w:rFonts w:ascii="Calibri" w:eastAsia="Calibri" w:hAnsi="Calibri" w:cs="Times New Roman"/>
      <w:lang w:val="en-AU"/>
    </w:rPr>
  </w:style>
  <w:style w:type="paragraph" w:styleId="BalloonText">
    <w:name w:val="Balloon Text"/>
    <w:basedOn w:val="Normal"/>
    <w:link w:val="BalloonTextChar"/>
    <w:uiPriority w:val="99"/>
    <w:semiHidden/>
    <w:unhideWhenUsed/>
    <w:rsid w:val="009B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85"/>
    <w:rPr>
      <w:rFonts w:ascii="Tahoma" w:eastAsia="Calibri" w:hAnsi="Tahoma" w:cs="Tahoma"/>
      <w:sz w:val="16"/>
      <w:szCs w:val="16"/>
      <w:lang w:val="en-AU"/>
    </w:rPr>
  </w:style>
  <w:style w:type="paragraph" w:styleId="ListParagraph">
    <w:name w:val="List Paragraph"/>
    <w:basedOn w:val="Normal"/>
    <w:uiPriority w:val="34"/>
    <w:qFormat/>
    <w:rsid w:val="0086150E"/>
    <w:pPr>
      <w:ind w:left="720"/>
      <w:contextualSpacing/>
    </w:pPr>
  </w:style>
  <w:style w:type="character" w:styleId="Hyperlink">
    <w:name w:val="Hyperlink"/>
    <w:basedOn w:val="DefaultParagraphFont"/>
    <w:uiPriority w:val="99"/>
    <w:unhideWhenUsed/>
    <w:rsid w:val="00980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78">
      <w:bodyDiv w:val="1"/>
      <w:marLeft w:val="0"/>
      <w:marRight w:val="0"/>
      <w:marTop w:val="0"/>
      <w:marBottom w:val="0"/>
      <w:divBdr>
        <w:top w:val="none" w:sz="0" w:space="0" w:color="auto"/>
        <w:left w:val="none" w:sz="0" w:space="0" w:color="auto"/>
        <w:bottom w:val="none" w:sz="0" w:space="0" w:color="auto"/>
        <w:right w:val="none" w:sz="0" w:space="0" w:color="auto"/>
      </w:divBdr>
    </w:div>
    <w:div w:id="132645179">
      <w:bodyDiv w:val="1"/>
      <w:marLeft w:val="0"/>
      <w:marRight w:val="0"/>
      <w:marTop w:val="0"/>
      <w:marBottom w:val="0"/>
      <w:divBdr>
        <w:top w:val="none" w:sz="0" w:space="0" w:color="auto"/>
        <w:left w:val="none" w:sz="0" w:space="0" w:color="auto"/>
        <w:bottom w:val="none" w:sz="0" w:space="0" w:color="auto"/>
        <w:right w:val="none" w:sz="0" w:space="0" w:color="auto"/>
      </w:divBdr>
    </w:div>
    <w:div w:id="1137407817">
      <w:bodyDiv w:val="1"/>
      <w:marLeft w:val="0"/>
      <w:marRight w:val="0"/>
      <w:marTop w:val="0"/>
      <w:marBottom w:val="0"/>
      <w:divBdr>
        <w:top w:val="none" w:sz="0" w:space="0" w:color="auto"/>
        <w:left w:val="none" w:sz="0" w:space="0" w:color="auto"/>
        <w:bottom w:val="none" w:sz="0" w:space="0" w:color="auto"/>
        <w:right w:val="none" w:sz="0" w:space="0" w:color="auto"/>
      </w:divBdr>
    </w:div>
    <w:div w:id="13790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DCC@qld.lca.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12" ma:contentTypeDescription="Create a new document." ma:contentTypeScope="" ma:versionID="9358ff19482371aa92443c7c3701f2ac">
  <xsd:schema xmlns:xsd="http://www.w3.org/2001/XMLSchema" xmlns:xs="http://www.w3.org/2001/XMLSchema" xmlns:p="http://schemas.microsoft.com/office/2006/metadata/properties" xmlns:ns1="http://schemas.microsoft.com/sharepoint/v3" xmlns:ns2="4c48fe21-adee-4d0a-ad66-c91f09d690d6" xmlns:ns3="b95438eb-f541-4427-8999-1bd0fbe55b7b" targetNamespace="http://schemas.microsoft.com/office/2006/metadata/properties" ma:root="true" ma:fieldsID="451a2565cbfdf3bb23c8bf63825e01f9" ns1:_="" ns2:_="" ns3:_="">
    <xsd:import namespace="http://schemas.microsoft.com/sharepoint/v3"/>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493F-91EF-4075-B832-A6C0514A59B0}">
  <ds:schemaRefs>
    <ds:schemaRef ds:uri="http://schemas.microsoft.com/sharepoint/v3/contenttype/forms"/>
  </ds:schemaRefs>
</ds:datastoreItem>
</file>

<file path=customXml/itemProps2.xml><?xml version="1.0" encoding="utf-8"?>
<ds:datastoreItem xmlns:ds="http://schemas.openxmlformats.org/officeDocument/2006/customXml" ds:itemID="{2C320295-4B47-41A7-840E-71844384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610A9-E05A-4020-9F10-83A75B5A8614}">
  <ds:schemaRefs>
    <ds:schemaRef ds:uri="http://purl.org/dc/terms/"/>
    <ds:schemaRef ds:uri="b95438eb-f541-4427-8999-1bd0fbe55b7b"/>
    <ds:schemaRef ds:uri="http://schemas.microsoft.com/office/2006/documentManagement/types"/>
    <ds:schemaRef ds:uri="http://schemas.microsoft.com/office/2006/metadata/properties"/>
    <ds:schemaRef ds:uri="4c48fe21-adee-4d0a-ad66-c91f09d690d6"/>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1E3F2AFD-2C8B-41D0-B499-72C2A465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Dataspot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michaelt</dc:creator>
  <cp:lastModifiedBy>Michael Turner</cp:lastModifiedBy>
  <cp:revision>4</cp:revision>
  <cp:lastPrinted>2011-11-04T22:55:00Z</cp:lastPrinted>
  <dcterms:created xsi:type="dcterms:W3CDTF">2019-02-26T04:57:00Z</dcterms:created>
  <dcterms:modified xsi:type="dcterms:W3CDTF">2019-02-26T05:00:00Z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