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87B79" w14:textId="77777777" w:rsidR="00051712" w:rsidRPr="00051712" w:rsidRDefault="00051712" w:rsidP="00051712">
      <w:pPr>
        <w:keepNext/>
        <w:keepLines/>
        <w:spacing w:after="120" w:line="240" w:lineRule="auto"/>
        <w:outlineLvl w:val="2"/>
        <w:rPr>
          <w:rFonts w:ascii="Cambria" w:eastAsia="Times New Roman" w:hAnsi="Cambria" w:cs="Times New Roman"/>
          <w:b/>
          <w:caps/>
          <w:sz w:val="28"/>
          <w:szCs w:val="24"/>
        </w:rPr>
      </w:pPr>
      <w:r w:rsidRPr="00051712">
        <w:rPr>
          <w:rFonts w:ascii="Cambria" w:eastAsia="Times New Roman" w:hAnsi="Cambria" w:cs="Times New Roman"/>
          <w:b/>
          <w:caps/>
          <w:sz w:val="28"/>
          <w:szCs w:val="24"/>
        </w:rPr>
        <w:t xml:space="preserve">agenda 10.2 </w:t>
      </w:r>
    </w:p>
    <w:p w14:paraId="4FC585DB" w14:textId="77777777" w:rsidR="00051712" w:rsidRPr="00051712" w:rsidRDefault="00051712" w:rsidP="00051712">
      <w:pPr>
        <w:keepNext/>
        <w:keepLines/>
        <w:pBdr>
          <w:bottom w:val="single" w:sz="4" w:space="1" w:color="auto"/>
        </w:pBdr>
        <w:spacing w:after="0" w:line="240" w:lineRule="auto"/>
        <w:outlineLvl w:val="1"/>
        <w:rPr>
          <w:rFonts w:ascii="Cambria" w:eastAsia="Times New Roman" w:hAnsi="Cambria" w:cs="Times New Roman"/>
          <w:b/>
          <w:sz w:val="36"/>
          <w:szCs w:val="32"/>
        </w:rPr>
      </w:pPr>
      <w:bookmarkStart w:id="0" w:name="_Toc521954742"/>
      <w:bookmarkStart w:id="1" w:name="_GoBack"/>
      <w:r w:rsidRPr="00051712">
        <w:rPr>
          <w:rFonts w:ascii="Cambria" w:eastAsia="Times New Roman" w:hAnsi="Cambria" w:cs="Times New Roman"/>
          <w:b/>
          <w:sz w:val="36"/>
          <w:szCs w:val="32"/>
        </w:rPr>
        <w:t>Financial Report: Australian Lutheran College Ltd</w:t>
      </w:r>
      <w:bookmarkEnd w:id="0"/>
    </w:p>
    <w:bookmarkEnd w:id="1"/>
    <w:p w14:paraId="67AD0589" w14:textId="77777777" w:rsidR="00051712" w:rsidRPr="00051712" w:rsidRDefault="00051712" w:rsidP="00051712">
      <w:pPr>
        <w:spacing w:after="0" w:line="240" w:lineRule="auto"/>
        <w:rPr>
          <w:rFonts w:ascii="Cambria" w:eastAsia="Calibri" w:hAnsi="Cambria" w:cs="Times New Roman"/>
          <w:sz w:val="24"/>
        </w:rPr>
      </w:pPr>
    </w:p>
    <w:p w14:paraId="73BA56F2" w14:textId="77777777" w:rsidR="00051712" w:rsidRPr="00051712" w:rsidRDefault="00051712" w:rsidP="00051712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  <w:bookmarkStart w:id="2" w:name="_Hlk521571408"/>
      <w:r w:rsidRPr="00051712">
        <w:rPr>
          <w:rFonts w:ascii="Cambria" w:eastAsia="Calibri" w:hAnsi="Cambria" w:cs="Times New Roman"/>
          <w:b/>
          <w:sz w:val="21"/>
          <w:szCs w:val="21"/>
        </w:rPr>
        <w:t>INCOME AND EXPENDITURE STATEMENT</w:t>
      </w:r>
    </w:p>
    <w:bookmarkEnd w:id="2"/>
    <w:p w14:paraId="4EA67D9F" w14:textId="77777777" w:rsidR="00051712" w:rsidRPr="00051712" w:rsidRDefault="00051712" w:rsidP="00051712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  <w:r w:rsidRPr="00051712">
        <w:rPr>
          <w:rFonts w:ascii="Cambria" w:eastAsia="Calibri" w:hAnsi="Cambria" w:cs="Times New Roman"/>
          <w:b/>
          <w:sz w:val="21"/>
          <w:szCs w:val="21"/>
        </w:rPr>
        <w:t>FOR THE PERIODS ENDING 31 DECEMBER</w:t>
      </w:r>
      <w:r w:rsidRPr="00051712">
        <w:rPr>
          <w:rFonts w:ascii="Cambria" w:eastAsia="Calibri" w:hAnsi="Cambria" w:cs="Times New Roman"/>
          <w:b/>
          <w:sz w:val="21"/>
          <w:szCs w:val="21"/>
        </w:rPr>
        <w:br/>
      </w:r>
    </w:p>
    <w:p w14:paraId="642E1267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Arial"/>
          <w:b/>
          <w:bCs/>
          <w:sz w:val="21"/>
          <w:szCs w:val="21"/>
        </w:rPr>
      </w:pPr>
      <w:r w:rsidRPr="00051712">
        <w:rPr>
          <w:rFonts w:ascii="Cambria" w:eastAsia="Calibri" w:hAnsi="Cambria" w:cs="Calibri"/>
          <w:b/>
          <w:bCs/>
          <w:sz w:val="21"/>
          <w:szCs w:val="21"/>
        </w:rPr>
        <w:t>Income</w:t>
      </w:r>
      <w:r w:rsidRPr="00051712">
        <w:rPr>
          <w:rFonts w:ascii="Cambria" w:eastAsia="Calibri" w:hAnsi="Cambria" w:cs="Times New Roman"/>
          <w:sz w:val="21"/>
          <w:szCs w:val="21"/>
        </w:rPr>
        <w:tab/>
      </w:r>
      <w:r w:rsidRPr="00051712">
        <w:rPr>
          <w:rFonts w:ascii="Cambria" w:eastAsia="Calibri" w:hAnsi="Cambria" w:cs="Arial"/>
          <w:b/>
          <w:bCs/>
          <w:sz w:val="21"/>
          <w:szCs w:val="21"/>
        </w:rPr>
        <w:t>2017</w:t>
      </w:r>
      <w:r w:rsidRPr="00051712">
        <w:rPr>
          <w:rFonts w:ascii="Cambria" w:eastAsia="Calibri" w:hAnsi="Cambria" w:cs="Arial"/>
          <w:b/>
          <w:bCs/>
          <w:sz w:val="21"/>
          <w:szCs w:val="21"/>
        </w:rPr>
        <w:tab/>
        <w:t>2016</w:t>
      </w:r>
      <w:r w:rsidRPr="00051712">
        <w:rPr>
          <w:rFonts w:ascii="Cambria" w:eastAsia="Calibri" w:hAnsi="Cambria" w:cs="Arial"/>
          <w:b/>
          <w:bCs/>
          <w:sz w:val="21"/>
          <w:szCs w:val="21"/>
        </w:rPr>
        <w:tab/>
        <w:t>2015</w:t>
      </w:r>
    </w:p>
    <w:p w14:paraId="5684EADC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sz w:val="21"/>
          <w:szCs w:val="21"/>
        </w:rPr>
      </w:pPr>
      <w:r w:rsidRPr="00051712">
        <w:rPr>
          <w:rFonts w:ascii="Cambria" w:eastAsia="Calibri" w:hAnsi="Cambria" w:cs="Calibri"/>
          <w:sz w:val="21"/>
          <w:szCs w:val="21"/>
        </w:rPr>
        <w:t>Appeals, donations and bequests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 451,493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476,278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   332,843 </w:t>
      </w:r>
    </w:p>
    <w:p w14:paraId="4432D3E9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sz w:val="21"/>
          <w:szCs w:val="21"/>
        </w:rPr>
      </w:pPr>
      <w:r w:rsidRPr="00051712">
        <w:rPr>
          <w:rFonts w:ascii="Cambria" w:eastAsia="Calibri" w:hAnsi="Cambria" w:cs="Calibri"/>
          <w:sz w:val="21"/>
          <w:szCs w:val="21"/>
        </w:rPr>
        <w:t>Investment and rental income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 330,295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327,145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   340,056 </w:t>
      </w:r>
    </w:p>
    <w:p w14:paraId="6CF87140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sz w:val="21"/>
          <w:szCs w:val="21"/>
        </w:rPr>
      </w:pPr>
      <w:r w:rsidRPr="00051712">
        <w:rPr>
          <w:rFonts w:ascii="Cambria" w:eastAsia="Calibri" w:hAnsi="Cambria" w:cs="Calibri"/>
          <w:sz w:val="21"/>
          <w:szCs w:val="21"/>
        </w:rPr>
        <w:t>LCA Grants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1,425,000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1,400,000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1,400,000 ALITE funds</w:t>
      </w:r>
      <w:r w:rsidRPr="00051712">
        <w:rPr>
          <w:rFonts w:ascii="Cambria" w:eastAsia="Calibri" w:hAnsi="Cambria" w:cs="Calibri"/>
          <w:sz w:val="21"/>
          <w:szCs w:val="21"/>
        </w:rPr>
        <w:tab/>
        <w:t>0</w:t>
      </w:r>
      <w:r w:rsidRPr="00051712">
        <w:rPr>
          <w:rFonts w:ascii="Cambria" w:eastAsia="Calibri" w:hAnsi="Cambria" w:cs="Calibri"/>
          <w:sz w:val="21"/>
          <w:szCs w:val="21"/>
        </w:rPr>
        <w:tab/>
        <w:t>78,250</w:t>
      </w:r>
      <w:r w:rsidRPr="00051712">
        <w:rPr>
          <w:rFonts w:ascii="Cambria" w:eastAsia="Calibri" w:hAnsi="Cambria" w:cs="Calibri"/>
          <w:sz w:val="21"/>
          <w:szCs w:val="21"/>
        </w:rPr>
        <w:tab/>
        <w:t>0</w:t>
      </w:r>
    </w:p>
    <w:p w14:paraId="121D9BC4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sz w:val="21"/>
          <w:szCs w:val="21"/>
        </w:rPr>
      </w:pPr>
      <w:r w:rsidRPr="00051712">
        <w:rPr>
          <w:rFonts w:ascii="Cambria" w:eastAsia="Calibri" w:hAnsi="Cambria" w:cs="Calibri"/>
          <w:sz w:val="21"/>
          <w:szCs w:val="21"/>
        </w:rPr>
        <w:t>Trading Income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2,126,394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2,151,855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1,973,553 </w:t>
      </w:r>
    </w:p>
    <w:p w14:paraId="14ED56E4" w14:textId="77777777" w:rsidR="00051712" w:rsidRPr="00051712" w:rsidRDefault="00051712" w:rsidP="00051712">
      <w:pPr>
        <w:tabs>
          <w:tab w:val="right" w:pos="5954"/>
          <w:tab w:val="right" w:pos="7371"/>
          <w:tab w:val="right" w:pos="8647"/>
        </w:tabs>
        <w:spacing w:before="120" w:after="120" w:line="240" w:lineRule="auto"/>
        <w:contextualSpacing/>
        <w:rPr>
          <w:rFonts w:ascii="Cambria" w:eastAsia="Calibri" w:hAnsi="Cambria" w:cs="Calibri"/>
          <w:b/>
          <w:bCs/>
          <w:sz w:val="21"/>
          <w:szCs w:val="21"/>
        </w:rPr>
      </w:pPr>
      <w:r w:rsidRPr="00051712">
        <w:rPr>
          <w:rFonts w:ascii="Cambria" w:eastAsia="Calibri" w:hAnsi="Cambria" w:cs="Calibri"/>
          <w:sz w:val="21"/>
          <w:szCs w:val="21"/>
        </w:rPr>
        <w:tab/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 xml:space="preserve">      4,333,182 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  <w:t xml:space="preserve">        4,433,528    </w:t>
      </w:r>
      <w:r w:rsidRPr="00051712">
        <w:rPr>
          <w:rFonts w:ascii="Cambria" w:eastAsia="Calibri" w:hAnsi="Cambria" w:cs="Calibri"/>
          <w:b/>
          <w:bCs/>
          <w:sz w:val="29"/>
          <w:szCs w:val="21"/>
        </w:rPr>
        <w:t xml:space="preserve">  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 xml:space="preserve"> 4,046,452</w:t>
      </w:r>
    </w:p>
    <w:p w14:paraId="702B3481" w14:textId="77777777" w:rsidR="00051712" w:rsidRPr="00051712" w:rsidRDefault="00051712" w:rsidP="00051712">
      <w:pPr>
        <w:tabs>
          <w:tab w:val="right" w:pos="5954"/>
          <w:tab w:val="right" w:pos="7371"/>
          <w:tab w:val="right" w:pos="8647"/>
        </w:tabs>
        <w:spacing w:before="120" w:after="120" w:line="240" w:lineRule="auto"/>
        <w:contextualSpacing/>
        <w:rPr>
          <w:rFonts w:ascii="Cambria" w:eastAsia="Calibri" w:hAnsi="Cambria" w:cs="Times New Roman"/>
          <w:sz w:val="21"/>
          <w:szCs w:val="21"/>
        </w:rPr>
      </w:pPr>
      <w:r w:rsidRPr="00051712">
        <w:rPr>
          <w:rFonts w:ascii="Cambria" w:eastAsia="Calibri" w:hAnsi="Cambria" w:cs="Calibri"/>
          <w:b/>
          <w:bCs/>
          <w:sz w:val="21"/>
          <w:szCs w:val="21"/>
        </w:rPr>
        <w:t>Expenditure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</w:r>
      <w:r w:rsidRPr="00051712">
        <w:rPr>
          <w:rFonts w:ascii="Cambria" w:eastAsia="Calibri" w:hAnsi="Cambria" w:cs="Times New Roman"/>
          <w:sz w:val="21"/>
          <w:szCs w:val="21"/>
        </w:rPr>
        <w:tab/>
      </w:r>
    </w:p>
    <w:p w14:paraId="448A243C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sz w:val="21"/>
          <w:szCs w:val="21"/>
        </w:rPr>
      </w:pPr>
      <w:r w:rsidRPr="00051712">
        <w:rPr>
          <w:rFonts w:ascii="Cambria" w:eastAsia="Calibri" w:hAnsi="Cambria" w:cs="Calibri"/>
          <w:sz w:val="21"/>
          <w:szCs w:val="21"/>
        </w:rPr>
        <w:t>Administration costs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 427,325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608,600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   395,843 </w:t>
      </w:r>
    </w:p>
    <w:p w14:paraId="029CF6E1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sz w:val="21"/>
          <w:szCs w:val="21"/>
        </w:rPr>
      </w:pPr>
      <w:r w:rsidRPr="00051712">
        <w:rPr>
          <w:rFonts w:ascii="Cambria" w:eastAsia="Calibri" w:hAnsi="Cambria" w:cs="Calibri"/>
          <w:sz w:val="21"/>
          <w:szCs w:val="21"/>
        </w:rPr>
        <w:t>Asset Costs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 151,957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178,506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   175,827 </w:t>
      </w:r>
    </w:p>
    <w:p w14:paraId="5AB7CA7D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sz w:val="21"/>
          <w:szCs w:val="21"/>
        </w:rPr>
      </w:pPr>
      <w:r w:rsidRPr="00051712">
        <w:rPr>
          <w:rFonts w:ascii="Cambria" w:eastAsia="Calibri" w:hAnsi="Cambria" w:cs="Calibri"/>
          <w:sz w:val="21"/>
          <w:szCs w:val="21"/>
        </w:rPr>
        <w:t>Employee Expenses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2,609,235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2,644,568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3,026,912 </w:t>
      </w:r>
    </w:p>
    <w:p w14:paraId="57DFF274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sz w:val="21"/>
          <w:szCs w:val="21"/>
        </w:rPr>
      </w:pPr>
      <w:r w:rsidRPr="00051712">
        <w:rPr>
          <w:rFonts w:ascii="Cambria" w:eastAsia="Calibri" w:hAnsi="Cambria" w:cs="Calibri"/>
          <w:sz w:val="21"/>
          <w:szCs w:val="21"/>
        </w:rPr>
        <w:t>Ministry Expenses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 913,625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849,771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   909,983 </w:t>
      </w:r>
    </w:p>
    <w:p w14:paraId="45654334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  <w:bCs/>
          <w:sz w:val="21"/>
          <w:szCs w:val="21"/>
        </w:rPr>
      </w:pPr>
      <w:r w:rsidRPr="00051712">
        <w:rPr>
          <w:rFonts w:ascii="Cambria" w:eastAsia="Calibri" w:hAnsi="Cambria" w:cs="Times New Roman"/>
          <w:sz w:val="21"/>
          <w:szCs w:val="21"/>
        </w:rPr>
        <w:tab/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 xml:space="preserve">      4,102,142 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  <w:t xml:space="preserve">         4,281,445  </w:t>
      </w:r>
      <w:r w:rsidRPr="00051712">
        <w:rPr>
          <w:rFonts w:ascii="Cambria" w:eastAsia="Calibri" w:hAnsi="Cambria" w:cs="Calibri"/>
          <w:b/>
          <w:bCs/>
          <w:sz w:val="29"/>
          <w:szCs w:val="21"/>
        </w:rPr>
        <w:t xml:space="preserve">  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 xml:space="preserve">  4,508,565 </w:t>
      </w:r>
    </w:p>
    <w:p w14:paraId="58CFED6B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  <w:bCs/>
          <w:sz w:val="21"/>
          <w:szCs w:val="21"/>
        </w:rPr>
      </w:pPr>
      <w:r w:rsidRPr="00051712">
        <w:rPr>
          <w:rFonts w:ascii="Cambria" w:eastAsia="Calibri" w:hAnsi="Cambria" w:cs="Calibri"/>
          <w:b/>
          <w:bCs/>
          <w:sz w:val="21"/>
          <w:szCs w:val="21"/>
        </w:rPr>
        <w:t>Operating Surplus (Deficit) for the year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  <w:t>$231,040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  <w:t>$152,083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  <w:t>$(462,113)</w:t>
      </w:r>
    </w:p>
    <w:p w14:paraId="3BD3FF4F" w14:textId="77777777" w:rsidR="00051712" w:rsidRPr="00051712" w:rsidRDefault="00051712" w:rsidP="00051712">
      <w:pPr>
        <w:spacing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4EF64095" w14:textId="77777777" w:rsidR="00051712" w:rsidRPr="00051712" w:rsidRDefault="00051712" w:rsidP="00051712">
      <w:pPr>
        <w:spacing w:after="0" w:line="240" w:lineRule="auto"/>
        <w:rPr>
          <w:rFonts w:ascii="Cambria" w:eastAsia="Calibri" w:hAnsi="Cambria" w:cs="Times New Roman"/>
          <w:b/>
          <w:sz w:val="21"/>
          <w:szCs w:val="21"/>
        </w:rPr>
      </w:pPr>
      <w:r w:rsidRPr="00051712">
        <w:rPr>
          <w:rFonts w:ascii="Cambria" w:eastAsia="Calibri" w:hAnsi="Cambria" w:cs="Times New Roman"/>
          <w:b/>
          <w:sz w:val="21"/>
          <w:szCs w:val="21"/>
        </w:rPr>
        <w:t>BALANCE SHEET</w:t>
      </w:r>
    </w:p>
    <w:p w14:paraId="58186786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after="0" w:line="240" w:lineRule="auto"/>
        <w:contextualSpacing/>
        <w:rPr>
          <w:rFonts w:ascii="Cambria" w:eastAsia="Calibri" w:hAnsi="Cambria" w:cs="Calibri"/>
          <w:b/>
          <w:bCs/>
          <w:sz w:val="21"/>
          <w:szCs w:val="21"/>
        </w:rPr>
      </w:pPr>
      <w:r w:rsidRPr="00051712">
        <w:rPr>
          <w:rFonts w:ascii="Cambria" w:eastAsia="Calibri" w:hAnsi="Cambria" w:cs="Times New Roman"/>
          <w:b/>
          <w:sz w:val="21"/>
          <w:szCs w:val="21"/>
        </w:rPr>
        <w:t>FOR THE PERIODS ENDING 31 DECEMBER</w:t>
      </w:r>
      <w:r w:rsidRPr="00051712">
        <w:rPr>
          <w:rFonts w:ascii="Cambria" w:eastAsia="Calibri" w:hAnsi="Cambria" w:cs="Times New Roman"/>
          <w:b/>
          <w:sz w:val="21"/>
          <w:szCs w:val="21"/>
        </w:rPr>
        <w:br/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 xml:space="preserve"> </w:t>
      </w:r>
    </w:p>
    <w:p w14:paraId="3B485FE3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after="0" w:line="240" w:lineRule="auto"/>
        <w:contextualSpacing/>
        <w:rPr>
          <w:rFonts w:ascii="Cambria" w:eastAsia="Calibri" w:hAnsi="Cambria" w:cs="Arial"/>
          <w:b/>
          <w:bCs/>
          <w:sz w:val="21"/>
          <w:szCs w:val="21"/>
        </w:rPr>
      </w:pPr>
      <w:r w:rsidRPr="00051712">
        <w:rPr>
          <w:rFonts w:ascii="Cambria" w:eastAsia="Calibri" w:hAnsi="Cambria" w:cs="Calibri"/>
          <w:b/>
          <w:bCs/>
          <w:sz w:val="21"/>
          <w:szCs w:val="21"/>
        </w:rPr>
        <w:t>Current Assets</w:t>
      </w:r>
      <w:r w:rsidRPr="00051712">
        <w:rPr>
          <w:rFonts w:ascii="Cambria" w:eastAsia="Calibri" w:hAnsi="Cambria" w:cs="Times New Roman"/>
          <w:sz w:val="21"/>
          <w:szCs w:val="21"/>
        </w:rPr>
        <w:tab/>
      </w:r>
      <w:r w:rsidRPr="00051712">
        <w:rPr>
          <w:rFonts w:ascii="Cambria" w:eastAsia="Calibri" w:hAnsi="Cambria" w:cs="Arial"/>
          <w:b/>
          <w:bCs/>
          <w:sz w:val="21"/>
          <w:szCs w:val="21"/>
        </w:rPr>
        <w:t>2017</w:t>
      </w:r>
      <w:r w:rsidRPr="00051712">
        <w:rPr>
          <w:rFonts w:ascii="Cambria" w:eastAsia="Calibri" w:hAnsi="Cambria" w:cs="Arial"/>
          <w:b/>
          <w:bCs/>
          <w:sz w:val="21"/>
          <w:szCs w:val="21"/>
        </w:rPr>
        <w:tab/>
        <w:t>2016</w:t>
      </w:r>
      <w:r w:rsidRPr="00051712">
        <w:rPr>
          <w:rFonts w:ascii="Cambria" w:eastAsia="Calibri" w:hAnsi="Cambria" w:cs="Arial"/>
          <w:b/>
          <w:bCs/>
          <w:sz w:val="21"/>
          <w:szCs w:val="21"/>
        </w:rPr>
        <w:tab/>
        <w:t>2015</w:t>
      </w:r>
    </w:p>
    <w:p w14:paraId="629369FE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sz w:val="21"/>
          <w:szCs w:val="21"/>
        </w:rPr>
      </w:pPr>
      <w:r w:rsidRPr="00051712">
        <w:rPr>
          <w:rFonts w:ascii="Cambria" w:eastAsia="Calibri" w:hAnsi="Cambria" w:cs="Calibri"/>
          <w:sz w:val="21"/>
          <w:szCs w:val="21"/>
        </w:rPr>
        <w:t>Cash and Cash Equivalents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1,775,494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1,546,150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1,462,088 </w:t>
      </w:r>
    </w:p>
    <w:p w14:paraId="4C563001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sz w:val="21"/>
          <w:szCs w:val="21"/>
        </w:rPr>
      </w:pPr>
      <w:r w:rsidRPr="00051712">
        <w:rPr>
          <w:rFonts w:ascii="Cambria" w:eastAsia="Calibri" w:hAnsi="Cambria" w:cs="Calibri"/>
          <w:sz w:val="21"/>
          <w:szCs w:val="21"/>
        </w:rPr>
        <w:t>Trade and other receivables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    37,231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51,633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     75,033 </w:t>
      </w:r>
    </w:p>
    <w:p w14:paraId="217C846F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sz w:val="21"/>
          <w:szCs w:val="21"/>
        </w:rPr>
      </w:pPr>
      <w:r w:rsidRPr="00051712">
        <w:rPr>
          <w:rFonts w:ascii="Cambria" w:eastAsia="Calibri" w:hAnsi="Cambria" w:cs="Calibri"/>
          <w:sz w:val="21"/>
          <w:szCs w:val="21"/>
        </w:rPr>
        <w:t>Other assets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 166,341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53,206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     61,951 </w:t>
      </w:r>
    </w:p>
    <w:p w14:paraId="40F169A5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  <w:bCs/>
          <w:sz w:val="21"/>
          <w:szCs w:val="21"/>
        </w:rPr>
      </w:pPr>
      <w:r w:rsidRPr="00051712">
        <w:rPr>
          <w:rFonts w:ascii="Cambria" w:eastAsia="Calibri" w:hAnsi="Cambria" w:cs="Calibri"/>
          <w:b/>
          <w:bCs/>
          <w:sz w:val="21"/>
          <w:szCs w:val="21"/>
        </w:rPr>
        <w:t>Total Current Assets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  <w:t xml:space="preserve">      1,979,066 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  <w:t xml:space="preserve">         1,650,989   </w:t>
      </w:r>
      <w:r w:rsidRPr="00051712">
        <w:rPr>
          <w:rFonts w:ascii="Cambria" w:eastAsia="Calibri" w:hAnsi="Cambria" w:cs="Calibri"/>
          <w:b/>
          <w:bCs/>
          <w:sz w:val="29"/>
          <w:szCs w:val="21"/>
        </w:rPr>
        <w:t xml:space="preserve">  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 xml:space="preserve"> 1,599,072 </w:t>
      </w:r>
    </w:p>
    <w:p w14:paraId="086EB82F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Times New Roman"/>
          <w:sz w:val="21"/>
          <w:szCs w:val="21"/>
        </w:rPr>
      </w:pPr>
      <w:r w:rsidRPr="00051712">
        <w:rPr>
          <w:rFonts w:ascii="Cambria" w:eastAsia="Calibri" w:hAnsi="Cambria" w:cs="Calibri"/>
          <w:b/>
          <w:bCs/>
          <w:sz w:val="21"/>
          <w:szCs w:val="21"/>
        </w:rPr>
        <w:t>Non Current Assets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</w:r>
      <w:r w:rsidRPr="00051712">
        <w:rPr>
          <w:rFonts w:ascii="Cambria" w:eastAsia="Calibri" w:hAnsi="Cambria" w:cs="Times New Roman"/>
          <w:sz w:val="21"/>
          <w:szCs w:val="21"/>
        </w:rPr>
        <w:tab/>
      </w:r>
    </w:p>
    <w:p w14:paraId="1A9CA35E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sz w:val="21"/>
          <w:szCs w:val="21"/>
        </w:rPr>
      </w:pPr>
      <w:r w:rsidRPr="00051712">
        <w:rPr>
          <w:rFonts w:ascii="Cambria" w:eastAsia="Calibri" w:hAnsi="Cambria" w:cs="Calibri"/>
          <w:sz w:val="21"/>
          <w:szCs w:val="21"/>
        </w:rPr>
        <w:t>Plant and Equipment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 638,730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710,703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   786,170 </w:t>
      </w:r>
    </w:p>
    <w:p w14:paraId="0633FAC9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  <w:bCs/>
          <w:sz w:val="21"/>
          <w:szCs w:val="21"/>
        </w:rPr>
      </w:pPr>
      <w:r w:rsidRPr="00051712">
        <w:rPr>
          <w:rFonts w:ascii="Cambria" w:eastAsia="Calibri" w:hAnsi="Cambria" w:cs="Calibri"/>
          <w:b/>
          <w:bCs/>
          <w:sz w:val="21"/>
          <w:szCs w:val="21"/>
        </w:rPr>
        <w:t>Total Non Current Assets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  <w:t xml:space="preserve">         638,730 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  <w:t xml:space="preserve">             710,703     </w:t>
      </w:r>
      <w:r w:rsidRPr="00051712">
        <w:rPr>
          <w:rFonts w:ascii="Cambria" w:eastAsia="Calibri" w:hAnsi="Cambria" w:cs="Calibri"/>
          <w:b/>
          <w:bCs/>
          <w:sz w:val="15"/>
          <w:szCs w:val="21"/>
        </w:rPr>
        <w:t xml:space="preserve">   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 xml:space="preserve">   786,170 </w:t>
      </w:r>
    </w:p>
    <w:p w14:paraId="132895E3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  <w:bCs/>
          <w:sz w:val="21"/>
          <w:szCs w:val="21"/>
        </w:rPr>
      </w:pPr>
      <w:r w:rsidRPr="00051712">
        <w:rPr>
          <w:rFonts w:ascii="Cambria" w:eastAsia="Calibri" w:hAnsi="Cambria" w:cs="Calibri"/>
          <w:b/>
          <w:bCs/>
          <w:sz w:val="21"/>
          <w:szCs w:val="21"/>
        </w:rPr>
        <w:t>Total Assets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  <w:t xml:space="preserve">      2,617,796 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  <w:t xml:space="preserve">         2,361,692    </w:t>
      </w:r>
      <w:r w:rsidRPr="00051712">
        <w:rPr>
          <w:rFonts w:ascii="Cambria" w:eastAsia="Calibri" w:hAnsi="Cambria" w:cs="Calibri"/>
          <w:b/>
          <w:bCs/>
          <w:sz w:val="13"/>
          <w:szCs w:val="21"/>
        </w:rPr>
        <w:t xml:space="preserve">    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 xml:space="preserve">2,385,242 </w:t>
      </w:r>
    </w:p>
    <w:p w14:paraId="170AE708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Times New Roman"/>
          <w:sz w:val="21"/>
          <w:szCs w:val="21"/>
        </w:rPr>
      </w:pPr>
      <w:r w:rsidRPr="00051712">
        <w:rPr>
          <w:rFonts w:ascii="Cambria" w:eastAsia="Calibri" w:hAnsi="Cambria" w:cs="Calibri"/>
          <w:b/>
          <w:bCs/>
          <w:sz w:val="21"/>
          <w:szCs w:val="21"/>
        </w:rPr>
        <w:t>Current Liabilities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</w:r>
      <w:r w:rsidRPr="00051712">
        <w:rPr>
          <w:rFonts w:ascii="Cambria" w:eastAsia="Calibri" w:hAnsi="Cambria" w:cs="Times New Roman"/>
          <w:sz w:val="21"/>
          <w:szCs w:val="21"/>
        </w:rPr>
        <w:tab/>
      </w:r>
    </w:p>
    <w:p w14:paraId="184DCEE9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sz w:val="21"/>
          <w:szCs w:val="21"/>
        </w:rPr>
      </w:pPr>
      <w:r w:rsidRPr="00051712">
        <w:rPr>
          <w:rFonts w:ascii="Cambria" w:eastAsia="Calibri" w:hAnsi="Cambria" w:cs="Calibri"/>
          <w:sz w:val="21"/>
          <w:szCs w:val="21"/>
        </w:rPr>
        <w:t>Trade and Other Payables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 204,902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200,658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   370,091 </w:t>
      </w:r>
    </w:p>
    <w:p w14:paraId="7C07928A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sz w:val="21"/>
          <w:szCs w:val="21"/>
        </w:rPr>
      </w:pPr>
      <w:r w:rsidRPr="00051712">
        <w:rPr>
          <w:rFonts w:ascii="Cambria" w:eastAsia="Calibri" w:hAnsi="Cambria" w:cs="Calibri"/>
          <w:sz w:val="21"/>
          <w:szCs w:val="21"/>
        </w:rPr>
        <w:t>Provisions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 179,155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176,406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   127,580 </w:t>
      </w:r>
    </w:p>
    <w:p w14:paraId="498DA66D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  <w:bCs/>
          <w:sz w:val="21"/>
          <w:szCs w:val="21"/>
        </w:rPr>
      </w:pPr>
      <w:r w:rsidRPr="00051712">
        <w:rPr>
          <w:rFonts w:ascii="Cambria" w:eastAsia="Calibri" w:hAnsi="Cambria" w:cs="Calibri"/>
          <w:b/>
          <w:bCs/>
          <w:sz w:val="21"/>
          <w:szCs w:val="21"/>
        </w:rPr>
        <w:t>Total Current Liabilities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  <w:t xml:space="preserve">         384,057 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  <w:t xml:space="preserve">             377,064     </w:t>
      </w:r>
      <w:r w:rsidRPr="00051712">
        <w:rPr>
          <w:rFonts w:ascii="Cambria" w:eastAsia="Calibri" w:hAnsi="Cambria" w:cs="Calibri"/>
          <w:b/>
          <w:bCs/>
          <w:sz w:val="17"/>
          <w:szCs w:val="21"/>
        </w:rPr>
        <w:t xml:space="preserve">  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 xml:space="preserve">  </w:t>
      </w:r>
      <w:r w:rsidRPr="00051712">
        <w:rPr>
          <w:rFonts w:ascii="Cambria" w:eastAsia="Calibri" w:hAnsi="Cambria" w:cs="Calibri"/>
          <w:b/>
          <w:bCs/>
          <w:sz w:val="17"/>
          <w:szCs w:val="21"/>
        </w:rPr>
        <w:t xml:space="preserve">  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 xml:space="preserve">497,671 </w:t>
      </w:r>
    </w:p>
    <w:p w14:paraId="5A368BD2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Times New Roman"/>
          <w:sz w:val="21"/>
          <w:szCs w:val="21"/>
        </w:rPr>
      </w:pPr>
      <w:r w:rsidRPr="00051712">
        <w:rPr>
          <w:rFonts w:ascii="Cambria" w:eastAsia="Calibri" w:hAnsi="Cambria" w:cs="Calibri"/>
          <w:b/>
          <w:bCs/>
          <w:sz w:val="21"/>
          <w:szCs w:val="21"/>
        </w:rPr>
        <w:t>Non Current Liabilities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</w:r>
      <w:r w:rsidRPr="00051712">
        <w:rPr>
          <w:rFonts w:ascii="Cambria" w:eastAsia="Calibri" w:hAnsi="Cambria" w:cs="Times New Roman"/>
          <w:sz w:val="21"/>
          <w:szCs w:val="21"/>
        </w:rPr>
        <w:tab/>
      </w:r>
    </w:p>
    <w:p w14:paraId="799EEA87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sz w:val="21"/>
          <w:szCs w:val="21"/>
        </w:rPr>
      </w:pPr>
      <w:r w:rsidRPr="00051712">
        <w:rPr>
          <w:rFonts w:ascii="Cambria" w:eastAsia="Calibri" w:hAnsi="Cambria" w:cs="Calibri"/>
          <w:sz w:val="21"/>
          <w:szCs w:val="21"/>
        </w:rPr>
        <w:t>Provisions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 106,924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83,353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    130,629 </w:t>
      </w:r>
    </w:p>
    <w:p w14:paraId="609824D1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  <w:bCs/>
          <w:sz w:val="21"/>
          <w:szCs w:val="21"/>
        </w:rPr>
      </w:pPr>
      <w:r w:rsidRPr="00051712">
        <w:rPr>
          <w:rFonts w:ascii="Cambria" w:eastAsia="Calibri" w:hAnsi="Cambria" w:cs="Calibri"/>
          <w:b/>
          <w:bCs/>
          <w:sz w:val="21"/>
          <w:szCs w:val="21"/>
        </w:rPr>
        <w:t>Total Non Current Liabilities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  <w:t xml:space="preserve">         106,924 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  <w:t xml:space="preserve">               83,353    </w:t>
      </w:r>
      <w:r w:rsidRPr="00051712">
        <w:rPr>
          <w:rFonts w:ascii="Cambria" w:eastAsia="Calibri" w:hAnsi="Cambria" w:cs="Calibri"/>
          <w:b/>
          <w:bCs/>
          <w:sz w:val="19"/>
          <w:szCs w:val="21"/>
        </w:rPr>
        <w:t xml:space="preserve"> 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 xml:space="preserve">      130,629 </w:t>
      </w:r>
    </w:p>
    <w:p w14:paraId="47C955CB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  <w:bCs/>
          <w:sz w:val="21"/>
          <w:szCs w:val="21"/>
        </w:rPr>
      </w:pPr>
      <w:r w:rsidRPr="00051712">
        <w:rPr>
          <w:rFonts w:ascii="Cambria" w:eastAsia="Calibri" w:hAnsi="Cambria" w:cs="Calibri"/>
          <w:b/>
          <w:bCs/>
          <w:sz w:val="21"/>
          <w:szCs w:val="21"/>
        </w:rPr>
        <w:t>Total Liabilities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  <w:t xml:space="preserve">         490,981 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  <w:t xml:space="preserve">            460,417           628,300 </w:t>
      </w:r>
    </w:p>
    <w:p w14:paraId="11ED2DDB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  <w:bCs/>
          <w:sz w:val="21"/>
          <w:szCs w:val="21"/>
        </w:rPr>
      </w:pPr>
      <w:r w:rsidRPr="00051712">
        <w:rPr>
          <w:rFonts w:ascii="Cambria" w:eastAsia="Calibri" w:hAnsi="Cambria" w:cs="Calibri"/>
          <w:b/>
          <w:bCs/>
          <w:sz w:val="21"/>
          <w:szCs w:val="21"/>
        </w:rPr>
        <w:t>Net Assets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  <w:t xml:space="preserve">      2,126,815 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  <w:t xml:space="preserve">        1,901,275  </w:t>
      </w:r>
      <w:r w:rsidRPr="00051712">
        <w:rPr>
          <w:rFonts w:ascii="Cambria" w:eastAsia="Calibri" w:hAnsi="Cambria" w:cs="Calibri"/>
          <w:b/>
          <w:bCs/>
          <w:sz w:val="19"/>
          <w:szCs w:val="21"/>
        </w:rPr>
        <w:t xml:space="preserve">  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 xml:space="preserve">    1,756,942 </w:t>
      </w:r>
    </w:p>
    <w:p w14:paraId="5304ED9E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Times New Roman"/>
          <w:sz w:val="21"/>
          <w:szCs w:val="21"/>
        </w:rPr>
      </w:pPr>
      <w:r w:rsidRPr="00051712">
        <w:rPr>
          <w:rFonts w:ascii="Cambria" w:eastAsia="Calibri" w:hAnsi="Cambria" w:cs="Calibri"/>
          <w:b/>
          <w:bCs/>
          <w:sz w:val="21"/>
          <w:szCs w:val="21"/>
        </w:rPr>
        <w:t>Equity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</w:r>
      <w:r w:rsidRPr="00051712">
        <w:rPr>
          <w:rFonts w:ascii="Cambria" w:eastAsia="Calibri" w:hAnsi="Cambria" w:cs="Times New Roman"/>
          <w:sz w:val="21"/>
          <w:szCs w:val="21"/>
        </w:rPr>
        <w:tab/>
      </w:r>
    </w:p>
    <w:p w14:paraId="7F1CB60A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sz w:val="21"/>
          <w:szCs w:val="21"/>
        </w:rPr>
      </w:pPr>
      <w:r w:rsidRPr="00051712">
        <w:rPr>
          <w:rFonts w:ascii="Cambria" w:eastAsia="Calibri" w:hAnsi="Cambria" w:cs="Calibri"/>
          <w:sz w:val="21"/>
          <w:szCs w:val="21"/>
        </w:rPr>
        <w:t>Contributed Funds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3,059,141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3,059,141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3,059,141 </w:t>
      </w:r>
    </w:p>
    <w:p w14:paraId="0B809034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sz w:val="21"/>
          <w:szCs w:val="21"/>
        </w:rPr>
      </w:pPr>
      <w:r w:rsidRPr="00051712">
        <w:rPr>
          <w:rFonts w:ascii="Cambria" w:eastAsia="Calibri" w:hAnsi="Cambria" w:cs="Calibri"/>
          <w:sz w:val="21"/>
          <w:szCs w:val="21"/>
        </w:rPr>
        <w:t>Reserves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1,214,277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1,167,243 </w:t>
      </w:r>
      <w:r w:rsidRPr="00051712">
        <w:rPr>
          <w:rFonts w:ascii="Cambria" w:eastAsia="Calibri" w:hAnsi="Cambria" w:cs="Calibri"/>
          <w:sz w:val="21"/>
          <w:szCs w:val="21"/>
        </w:rPr>
        <w:tab/>
        <w:t xml:space="preserve">       1,112,124 </w:t>
      </w:r>
    </w:p>
    <w:p w14:paraId="5E28C406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sz w:val="21"/>
          <w:szCs w:val="21"/>
        </w:rPr>
      </w:pPr>
      <w:r w:rsidRPr="00051712">
        <w:rPr>
          <w:rFonts w:ascii="Cambria" w:eastAsia="Calibri" w:hAnsi="Cambria" w:cs="Calibri"/>
          <w:sz w:val="21"/>
          <w:szCs w:val="21"/>
        </w:rPr>
        <w:t>Accumulated (deficits)</w:t>
      </w:r>
      <w:r w:rsidRPr="00051712">
        <w:rPr>
          <w:rFonts w:ascii="Cambria" w:eastAsia="Calibri" w:hAnsi="Cambria" w:cs="Calibri"/>
          <w:sz w:val="21"/>
          <w:szCs w:val="21"/>
        </w:rPr>
        <w:tab/>
        <w:t>(2,146,603)</w:t>
      </w:r>
      <w:r w:rsidRPr="00051712">
        <w:rPr>
          <w:rFonts w:ascii="Cambria" w:eastAsia="Calibri" w:hAnsi="Cambria" w:cs="Calibri"/>
          <w:sz w:val="21"/>
          <w:szCs w:val="21"/>
        </w:rPr>
        <w:tab/>
        <w:t>(2,325,109)</w:t>
      </w:r>
      <w:r w:rsidRPr="00051712">
        <w:rPr>
          <w:rFonts w:ascii="Cambria" w:eastAsia="Calibri" w:hAnsi="Cambria" w:cs="Calibri"/>
          <w:sz w:val="21"/>
          <w:szCs w:val="21"/>
        </w:rPr>
        <w:tab/>
        <w:t>(2,414,323)</w:t>
      </w:r>
    </w:p>
    <w:p w14:paraId="5CF50FAA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  <w:bCs/>
          <w:sz w:val="21"/>
          <w:szCs w:val="21"/>
        </w:rPr>
      </w:pPr>
      <w:r w:rsidRPr="00051712">
        <w:rPr>
          <w:rFonts w:ascii="Cambria" w:eastAsia="Calibri" w:hAnsi="Cambria" w:cs="Calibri"/>
          <w:b/>
          <w:bCs/>
          <w:sz w:val="21"/>
          <w:szCs w:val="21"/>
        </w:rPr>
        <w:t>Total Equity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  <w:t xml:space="preserve">     $ 2,126,815 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ab/>
        <w:t xml:space="preserve">      $1,901,275 </w:t>
      </w:r>
      <w:r w:rsidRPr="00051712">
        <w:rPr>
          <w:rFonts w:ascii="Cambria" w:eastAsia="Calibri" w:hAnsi="Cambria" w:cs="Calibri"/>
          <w:b/>
          <w:bCs/>
          <w:sz w:val="19"/>
          <w:szCs w:val="21"/>
        </w:rPr>
        <w:t xml:space="preserve">    </w:t>
      </w:r>
      <w:r w:rsidRPr="00051712">
        <w:rPr>
          <w:rFonts w:ascii="Cambria" w:eastAsia="Calibri" w:hAnsi="Cambria" w:cs="Calibri"/>
          <w:b/>
          <w:bCs/>
          <w:sz w:val="21"/>
          <w:szCs w:val="21"/>
        </w:rPr>
        <w:t xml:space="preserve">$1,756,942 </w:t>
      </w:r>
    </w:p>
    <w:p w14:paraId="4066E5C4" w14:textId="77777777" w:rsidR="00051712" w:rsidRPr="00051712" w:rsidRDefault="00051712" w:rsidP="00051712">
      <w:pPr>
        <w:tabs>
          <w:tab w:val="right" w:pos="5954"/>
          <w:tab w:val="right" w:pos="7371"/>
          <w:tab w:val="right" w:pos="8789"/>
        </w:tabs>
        <w:spacing w:before="120" w:after="120" w:line="240" w:lineRule="auto"/>
        <w:contextualSpacing/>
        <w:rPr>
          <w:rFonts w:ascii="Cambria" w:eastAsia="Calibri" w:hAnsi="Cambria" w:cs="Calibri"/>
          <w:b/>
          <w:bCs/>
          <w:sz w:val="21"/>
          <w:szCs w:val="21"/>
        </w:rPr>
      </w:pPr>
    </w:p>
    <w:p w14:paraId="46897774" w14:textId="77777777" w:rsidR="00051712" w:rsidRPr="00051712" w:rsidRDefault="00051712" w:rsidP="00051712">
      <w:pPr>
        <w:spacing w:after="0" w:line="240" w:lineRule="auto"/>
        <w:rPr>
          <w:rFonts w:ascii="Cambria" w:eastAsia="Calibri" w:hAnsi="Cambria" w:cs="Times New Roman"/>
          <w:b/>
        </w:rPr>
      </w:pPr>
      <w:r w:rsidRPr="00051712">
        <w:rPr>
          <w:rFonts w:ascii="Cambria" w:eastAsia="Calibri" w:hAnsi="Cambria" w:cs="Times New Roman"/>
          <w:b/>
        </w:rPr>
        <w:t>ACCUMULATED FUNDS, EQUITY AND RESERVES</w:t>
      </w:r>
    </w:p>
    <w:p w14:paraId="22B88285" w14:textId="77777777" w:rsidR="00051712" w:rsidRPr="00051712" w:rsidRDefault="00051712" w:rsidP="00051712">
      <w:pPr>
        <w:spacing w:after="0" w:line="240" w:lineRule="auto"/>
        <w:rPr>
          <w:rFonts w:ascii="Cambria" w:eastAsia="Calibri" w:hAnsi="Cambria" w:cs="Times New Roman"/>
          <w:b/>
          <w:lang w:val="en-GB"/>
        </w:rPr>
      </w:pPr>
      <w:r w:rsidRPr="00051712">
        <w:rPr>
          <w:rFonts w:ascii="Cambria" w:eastAsia="Calibri" w:hAnsi="Cambria" w:cs="Times New Roman"/>
          <w:b/>
        </w:rPr>
        <w:t>  </w:t>
      </w:r>
      <w:r w:rsidRPr="00051712">
        <w:rPr>
          <w:rFonts w:ascii="Cambria" w:eastAsia="Calibri" w:hAnsi="Cambria" w:cs="Times New Roman"/>
          <w:b/>
        </w:rPr>
        <w:tab/>
        <w:t xml:space="preserve">                                                                                                 2017                  2016 </w:t>
      </w:r>
      <w:r w:rsidRPr="00051712">
        <w:rPr>
          <w:rFonts w:ascii="Cambria" w:eastAsia="Calibri" w:hAnsi="Cambria" w:cs="Times New Roman"/>
          <w:b/>
        </w:rPr>
        <w:tab/>
        <w:t xml:space="preserve">    2015</w:t>
      </w:r>
    </w:p>
    <w:p w14:paraId="1B73F8F1" w14:textId="77777777" w:rsidR="00051712" w:rsidRPr="00051712" w:rsidRDefault="00051712" w:rsidP="00051712">
      <w:pPr>
        <w:spacing w:after="0" w:line="240" w:lineRule="auto"/>
        <w:rPr>
          <w:rFonts w:ascii="Cambria" w:eastAsia="Calibri" w:hAnsi="Cambria" w:cs="Calibri"/>
          <w:lang w:val="en-US"/>
        </w:rPr>
      </w:pPr>
      <w:r w:rsidRPr="00051712">
        <w:rPr>
          <w:rFonts w:ascii="Cambria" w:eastAsia="Calibri" w:hAnsi="Cambria" w:cs="Times New Roman"/>
          <w:lang w:val="en-US"/>
        </w:rPr>
        <w:t xml:space="preserve">Opening balance January                                                      1,901,275           1,756,942       2,243,085 </w:t>
      </w:r>
    </w:p>
    <w:p w14:paraId="4B21FA1C" w14:textId="77777777" w:rsidR="00051712" w:rsidRPr="00051712" w:rsidRDefault="00051712" w:rsidP="00051712">
      <w:pPr>
        <w:spacing w:after="0" w:line="240" w:lineRule="auto"/>
        <w:rPr>
          <w:rFonts w:ascii="Cambria" w:eastAsia="Calibri" w:hAnsi="Cambria" w:cs="Times New Roman"/>
          <w:lang w:val="en-US"/>
        </w:rPr>
      </w:pPr>
      <w:r w:rsidRPr="00051712">
        <w:rPr>
          <w:rFonts w:ascii="Cambria" w:eastAsia="Calibri" w:hAnsi="Cambria" w:cs="Times New Roman"/>
          <w:lang w:val="en-US"/>
        </w:rPr>
        <w:t>Add adjustments to reserves                                                     47,034                 55,119         (25,631)</w:t>
      </w:r>
    </w:p>
    <w:p w14:paraId="7184E5BA" w14:textId="77777777" w:rsidR="00051712" w:rsidRPr="00051712" w:rsidRDefault="00051712" w:rsidP="00051712">
      <w:pPr>
        <w:spacing w:after="0" w:line="240" w:lineRule="auto"/>
        <w:rPr>
          <w:rFonts w:ascii="Cambria" w:eastAsia="Calibri" w:hAnsi="Cambria" w:cs="Times New Roman"/>
          <w:lang w:val="en-US"/>
        </w:rPr>
      </w:pPr>
      <w:r w:rsidRPr="00051712">
        <w:rPr>
          <w:rFonts w:ascii="Cambria" w:eastAsia="Calibri" w:hAnsi="Cambria" w:cs="Times New Roman"/>
          <w:lang w:val="en-US"/>
        </w:rPr>
        <w:t>Operating Surplus (Deficit) for the year                              178,506                 89,214       (460,512)</w:t>
      </w:r>
      <w:r w:rsidRPr="00051712">
        <w:rPr>
          <w:rFonts w:ascii="Cambria" w:eastAsia="Calibri" w:hAnsi="Cambria" w:cs="Times New Roman"/>
          <w:lang w:val="en-US"/>
        </w:rPr>
        <w:br/>
        <w:t xml:space="preserve">Closing balance 31 December                                         </w:t>
      </w:r>
      <w:r w:rsidRPr="00051712">
        <w:rPr>
          <w:rFonts w:ascii="Cambria" w:eastAsia="Calibri" w:hAnsi="Cambria" w:cs="Times New Roman"/>
          <w:b/>
          <w:lang w:val="en-US"/>
        </w:rPr>
        <w:t>$2,126,815       $1,901,275   $1,756,942</w:t>
      </w:r>
      <w:r w:rsidRPr="00051712">
        <w:rPr>
          <w:rFonts w:ascii="Cambria" w:eastAsia="Calibri" w:hAnsi="Cambria" w:cs="Times New Roman"/>
          <w:lang w:val="en-US"/>
        </w:rPr>
        <w:t xml:space="preserve"> </w:t>
      </w:r>
    </w:p>
    <w:p w14:paraId="6D6D4086" w14:textId="03CE1203" w:rsidR="000841EB" w:rsidRPr="00051712" w:rsidRDefault="00AC0760" w:rsidP="00051712"/>
    <w:sectPr w:rsidR="000841EB" w:rsidRPr="00051712" w:rsidSect="0069596D">
      <w:footerReference w:type="default" r:id="rId7"/>
      <w:pgSz w:w="11900" w:h="16840"/>
      <w:pgMar w:top="1134" w:right="992" w:bottom="1134" w:left="21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3E32D" w14:textId="77777777" w:rsidR="00AC0760" w:rsidRDefault="00AC0760" w:rsidP="007A6EEC">
      <w:pPr>
        <w:spacing w:after="0" w:line="240" w:lineRule="auto"/>
      </w:pPr>
      <w:r>
        <w:separator/>
      </w:r>
    </w:p>
  </w:endnote>
  <w:endnote w:type="continuationSeparator" w:id="0">
    <w:p w14:paraId="2D6F4D89" w14:textId="77777777" w:rsidR="00AC0760" w:rsidRDefault="00AC0760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altName w:val="Times New Roman"/>
    <w:panose1 w:val="02000503060000020004"/>
    <w:charset w:val="00"/>
    <w:family w:val="auto"/>
    <w:pitch w:val="variable"/>
    <w:sig w:usb0="80000067" w:usb1="00000000" w:usb2="00000000" w:usb3="00000000" w:csb0="0000001B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LT Std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1668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14:paraId="1AC1DBBF" w14:textId="77777777" w:rsidR="00365534" w:rsidRPr="0063233B" w:rsidRDefault="00365534" w:rsidP="0063233B">
        <w:pPr>
          <w:pStyle w:val="Footer"/>
          <w:jc w:val="right"/>
          <w:rPr>
            <w:rFonts w:ascii="Cambria" w:hAnsi="Cambria"/>
            <w:b/>
          </w:rPr>
        </w:pPr>
        <w:r w:rsidRPr="0063233B">
          <w:rPr>
            <w:rFonts w:ascii="Cambria" w:hAnsi="Cambria"/>
            <w:b/>
          </w:rPr>
          <w:fldChar w:fldCharType="begin"/>
        </w:r>
        <w:r w:rsidRPr="0063233B">
          <w:rPr>
            <w:rFonts w:ascii="Cambria" w:hAnsi="Cambria"/>
            <w:b/>
          </w:rPr>
          <w:instrText xml:space="preserve"> PAGE   \* MERGEFORMAT </w:instrText>
        </w:r>
        <w:r w:rsidRPr="0063233B">
          <w:rPr>
            <w:rFonts w:ascii="Cambria" w:hAnsi="Cambria"/>
            <w:b/>
          </w:rPr>
          <w:fldChar w:fldCharType="separate"/>
        </w:r>
        <w:r w:rsidR="00AC0760">
          <w:rPr>
            <w:rFonts w:ascii="Cambria" w:hAnsi="Cambria"/>
            <w:b/>
            <w:noProof/>
          </w:rPr>
          <w:t>1</w:t>
        </w:r>
        <w:r w:rsidRPr="0063233B">
          <w:rPr>
            <w:rFonts w:ascii="Cambria" w:hAnsi="Cambria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B56FE" w14:textId="77777777" w:rsidR="00AC0760" w:rsidRDefault="00AC0760" w:rsidP="007A6EEC">
      <w:pPr>
        <w:spacing w:after="0" w:line="240" w:lineRule="auto"/>
      </w:pPr>
      <w:r>
        <w:separator/>
      </w:r>
    </w:p>
  </w:footnote>
  <w:footnote w:type="continuationSeparator" w:id="0">
    <w:p w14:paraId="2AC5E0C4" w14:textId="77777777" w:rsidR="00AC0760" w:rsidRDefault="00AC0760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A0F83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AB07802"/>
    <w:multiLevelType w:val="hybridMultilevel"/>
    <w:tmpl w:val="8B360188"/>
    <w:styleLink w:val="List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63020"/>
    <w:multiLevelType w:val="hybridMultilevel"/>
    <w:tmpl w:val="21DEA8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94BD8"/>
    <w:multiLevelType w:val="hybridMultilevel"/>
    <w:tmpl w:val="68A292A2"/>
    <w:styleLink w:val="WWNum193"/>
    <w:lvl w:ilvl="0" w:tplc="D7988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07854"/>
    <w:multiLevelType w:val="hybridMultilevel"/>
    <w:tmpl w:val="16F634B6"/>
    <w:styleLink w:val="Style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10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1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1480D"/>
    <w:rsid w:val="000344AF"/>
    <w:rsid w:val="00051712"/>
    <w:rsid w:val="00075F9A"/>
    <w:rsid w:val="00085398"/>
    <w:rsid w:val="00092244"/>
    <w:rsid w:val="00094E9D"/>
    <w:rsid w:val="000C4688"/>
    <w:rsid w:val="000D06F8"/>
    <w:rsid w:val="000E23DC"/>
    <w:rsid w:val="000F5E13"/>
    <w:rsid w:val="000F5E9A"/>
    <w:rsid w:val="0010777A"/>
    <w:rsid w:val="00146C0F"/>
    <w:rsid w:val="00150D48"/>
    <w:rsid w:val="001773A3"/>
    <w:rsid w:val="002266FF"/>
    <w:rsid w:val="002276AE"/>
    <w:rsid w:val="00234E0A"/>
    <w:rsid w:val="002434CB"/>
    <w:rsid w:val="00262596"/>
    <w:rsid w:val="0028557A"/>
    <w:rsid w:val="002A7C7E"/>
    <w:rsid w:val="003412AB"/>
    <w:rsid w:val="0034252F"/>
    <w:rsid w:val="00357D52"/>
    <w:rsid w:val="003621FA"/>
    <w:rsid w:val="00365534"/>
    <w:rsid w:val="00365EBE"/>
    <w:rsid w:val="00391A3C"/>
    <w:rsid w:val="00397B19"/>
    <w:rsid w:val="003B17FF"/>
    <w:rsid w:val="003B75A4"/>
    <w:rsid w:val="003C41A8"/>
    <w:rsid w:val="003D756C"/>
    <w:rsid w:val="00444468"/>
    <w:rsid w:val="00453FF2"/>
    <w:rsid w:val="00454065"/>
    <w:rsid w:val="00464BB1"/>
    <w:rsid w:val="00475053"/>
    <w:rsid w:val="004A06DF"/>
    <w:rsid w:val="004B1859"/>
    <w:rsid w:val="004E58A9"/>
    <w:rsid w:val="004F3375"/>
    <w:rsid w:val="004F757C"/>
    <w:rsid w:val="00556316"/>
    <w:rsid w:val="00570BFE"/>
    <w:rsid w:val="00581F45"/>
    <w:rsid w:val="00585BAB"/>
    <w:rsid w:val="005A03D2"/>
    <w:rsid w:val="005A6219"/>
    <w:rsid w:val="005E3182"/>
    <w:rsid w:val="005F7844"/>
    <w:rsid w:val="00600B27"/>
    <w:rsid w:val="00620A86"/>
    <w:rsid w:val="00622C0D"/>
    <w:rsid w:val="00625BF5"/>
    <w:rsid w:val="00654E98"/>
    <w:rsid w:val="0069343E"/>
    <w:rsid w:val="00693895"/>
    <w:rsid w:val="0069596D"/>
    <w:rsid w:val="006B0E48"/>
    <w:rsid w:val="006B70CC"/>
    <w:rsid w:val="006C7365"/>
    <w:rsid w:val="006E6976"/>
    <w:rsid w:val="00724799"/>
    <w:rsid w:val="00736ED7"/>
    <w:rsid w:val="007935A8"/>
    <w:rsid w:val="007A6EEC"/>
    <w:rsid w:val="0080312E"/>
    <w:rsid w:val="00813EC0"/>
    <w:rsid w:val="008260C1"/>
    <w:rsid w:val="00856BC6"/>
    <w:rsid w:val="008E0B73"/>
    <w:rsid w:val="008E505A"/>
    <w:rsid w:val="008E6EFC"/>
    <w:rsid w:val="009259DF"/>
    <w:rsid w:val="00936502"/>
    <w:rsid w:val="009B068C"/>
    <w:rsid w:val="009D1DCF"/>
    <w:rsid w:val="009E5774"/>
    <w:rsid w:val="00A0195E"/>
    <w:rsid w:val="00A11269"/>
    <w:rsid w:val="00A30265"/>
    <w:rsid w:val="00A41301"/>
    <w:rsid w:val="00A61744"/>
    <w:rsid w:val="00A62DA0"/>
    <w:rsid w:val="00A86E0B"/>
    <w:rsid w:val="00A9169F"/>
    <w:rsid w:val="00AA5D19"/>
    <w:rsid w:val="00AC0760"/>
    <w:rsid w:val="00B11066"/>
    <w:rsid w:val="00B12ED1"/>
    <w:rsid w:val="00B22F8B"/>
    <w:rsid w:val="00B5789D"/>
    <w:rsid w:val="00B753C4"/>
    <w:rsid w:val="00BA7049"/>
    <w:rsid w:val="00BE0EE2"/>
    <w:rsid w:val="00BF7EB1"/>
    <w:rsid w:val="00C454DA"/>
    <w:rsid w:val="00C77A03"/>
    <w:rsid w:val="00C81208"/>
    <w:rsid w:val="00D264C5"/>
    <w:rsid w:val="00D43651"/>
    <w:rsid w:val="00D56286"/>
    <w:rsid w:val="00D9214D"/>
    <w:rsid w:val="00DC7476"/>
    <w:rsid w:val="00DE3294"/>
    <w:rsid w:val="00E07FCD"/>
    <w:rsid w:val="00E11E57"/>
    <w:rsid w:val="00E1471F"/>
    <w:rsid w:val="00E14DBE"/>
    <w:rsid w:val="00E248DC"/>
    <w:rsid w:val="00E449F9"/>
    <w:rsid w:val="00E52857"/>
    <w:rsid w:val="00EA6E2C"/>
    <w:rsid w:val="00ED362C"/>
    <w:rsid w:val="00F1172E"/>
    <w:rsid w:val="00F11F74"/>
    <w:rsid w:val="00F50935"/>
    <w:rsid w:val="00F76ED6"/>
    <w:rsid w:val="00F77724"/>
    <w:rsid w:val="00FA713E"/>
    <w:rsid w:val="00FD4A47"/>
    <w:rsid w:val="00FD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3B75A4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404040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A4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A4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6EEC"/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3B17F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B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B068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5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34"/>
    <w:rPr>
      <w:sz w:val="22"/>
      <w:szCs w:val="22"/>
      <w:lang w:val="en-AU"/>
    </w:rPr>
  </w:style>
  <w:style w:type="table" w:customStyle="1" w:styleId="TableGrid3">
    <w:name w:val="Table Grid3"/>
    <w:basedOn w:val="TableNormal"/>
    <w:next w:val="TableGrid"/>
    <w:uiPriority w:val="39"/>
    <w:rsid w:val="0036553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nhideWhenUsed/>
    <w:rsid w:val="003B75A4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customStyle="1" w:styleId="Heading51">
    <w:name w:val="Heading 51"/>
    <w:basedOn w:val="Normal"/>
    <w:next w:val="Normal"/>
    <w:unhideWhenUsed/>
    <w:rsid w:val="003B75A4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F5496"/>
    </w:rPr>
  </w:style>
  <w:style w:type="paragraph" w:customStyle="1" w:styleId="Heading61">
    <w:name w:val="Heading 61"/>
    <w:basedOn w:val="Normal"/>
    <w:next w:val="Normal"/>
    <w:unhideWhenUsed/>
    <w:rsid w:val="003B75A4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3763"/>
    </w:rPr>
  </w:style>
  <w:style w:type="paragraph" w:customStyle="1" w:styleId="Heading71">
    <w:name w:val="Heading 71"/>
    <w:basedOn w:val="Normal"/>
    <w:next w:val="Normal"/>
    <w:uiPriority w:val="99"/>
    <w:unhideWhenUsed/>
    <w:qFormat/>
    <w:rsid w:val="003B75A4"/>
    <w:pPr>
      <w:keepNext/>
      <w:keepLines/>
      <w:spacing w:before="200" w:after="0" w:line="256" w:lineRule="auto"/>
      <w:ind w:left="1296" w:hanging="1296"/>
      <w:outlineLvl w:val="6"/>
    </w:pPr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rsid w:val="003B75A4"/>
    <w:pPr>
      <w:keepNext/>
      <w:keepLines/>
      <w:spacing w:before="200" w:after="0" w:line="256" w:lineRule="auto"/>
      <w:ind w:left="1440" w:hanging="144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3B75A4"/>
    <w:pPr>
      <w:keepNext/>
      <w:keepLines/>
      <w:spacing w:before="200" w:after="0" w:line="256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paragraph" w:customStyle="1" w:styleId="Head31">
    <w:name w:val="Head 31"/>
    <w:basedOn w:val="NoSpacing"/>
    <w:next w:val="NoSpacing"/>
    <w:uiPriority w:val="10"/>
    <w:rsid w:val="003B75A4"/>
    <w:pPr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3B75A4"/>
    <w:rPr>
      <w:rFonts w:ascii="Calibri Light" w:eastAsia="Times New Roman" w:hAnsi="Calibri Light" w:cs="Times New Roman"/>
      <w:b/>
      <w:caps/>
      <w:spacing w:val="-10"/>
      <w:kern w:val="28"/>
      <w:sz w:val="24"/>
      <w:szCs w:val="56"/>
    </w:rPr>
  </w:style>
  <w:style w:type="paragraph" w:styleId="TOC2">
    <w:name w:val="toc 2"/>
    <w:basedOn w:val="Normal"/>
    <w:next w:val="Normal"/>
    <w:autoRedefine/>
    <w:uiPriority w:val="39"/>
    <w:unhideWhenUsed/>
    <w:rsid w:val="003B7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3B75A4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qFormat/>
    <w:rsid w:val="003B7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5A4"/>
    <w:rPr>
      <w:sz w:val="22"/>
      <w:szCs w:val="22"/>
      <w:lang w:val="en-AU"/>
    </w:rPr>
  </w:style>
  <w:style w:type="paragraph" w:customStyle="1" w:styleId="Standard">
    <w:name w:val="Standard"/>
    <w:rsid w:val="003B75A4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3B75A4"/>
    <w:rPr>
      <w:rFonts w:ascii="Calibri Light" w:eastAsia="Times New Roman" w:hAnsi="Calibri Light" w:cs="Times New Roman"/>
      <w:i/>
      <w:iCs/>
      <w:color w:val="2F5496"/>
    </w:rPr>
  </w:style>
  <w:style w:type="character" w:customStyle="1" w:styleId="SubtleEmphasis1">
    <w:name w:val="Subtle Emphasis1"/>
    <w:basedOn w:val="DefaultParagraphFont"/>
    <w:uiPriority w:val="19"/>
    <w:rsid w:val="003B75A4"/>
    <w:rPr>
      <w:i/>
      <w:iCs/>
      <w:color w:val="404040"/>
    </w:rPr>
  </w:style>
  <w:style w:type="table" w:customStyle="1" w:styleId="TableGrid4">
    <w:name w:val="Table Grid4"/>
    <w:basedOn w:val="TableNormal"/>
    <w:next w:val="TableGrid"/>
    <w:uiPriority w:val="39"/>
    <w:rsid w:val="003B75A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3B75A4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5A4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3B75A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3B7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75A4"/>
    <w:rPr>
      <w:rFonts w:ascii="Segoe UI" w:hAnsi="Segoe UI" w:cs="Segoe UI"/>
      <w:sz w:val="18"/>
      <w:szCs w:val="18"/>
      <w:lang w:val="en-AU"/>
    </w:rPr>
  </w:style>
  <w:style w:type="table" w:customStyle="1" w:styleId="PlainTable11">
    <w:name w:val="Plain Table 11"/>
    <w:basedOn w:val="TableNormal"/>
    <w:next w:val="PlainTable1"/>
    <w:uiPriority w:val="41"/>
    <w:rsid w:val="003B75A4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3B7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B75A4"/>
    <w:rPr>
      <w:sz w:val="20"/>
      <w:szCs w:val="20"/>
      <w:lang w:val="en-AU"/>
    </w:rPr>
  </w:style>
  <w:style w:type="character" w:styleId="EndnoteReference">
    <w:name w:val="endnote reference"/>
    <w:basedOn w:val="DefaultParagraphFont"/>
    <w:unhideWhenUsed/>
    <w:rsid w:val="003B75A4"/>
    <w:rPr>
      <w:vertAlign w:val="superscript"/>
    </w:rPr>
  </w:style>
  <w:style w:type="table" w:customStyle="1" w:styleId="TableGrid11">
    <w:name w:val="Table Grid1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next w:val="PlainTable3"/>
    <w:uiPriority w:val="43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3B75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AU" w:eastAsia="en-AU"/>
    </w:rPr>
  </w:style>
  <w:style w:type="character" w:customStyle="1" w:styleId="BORChar">
    <w:name w:val="BOR Char"/>
    <w:basedOn w:val="DefaultParagraphFont"/>
    <w:link w:val="BOR"/>
    <w:locked/>
    <w:rsid w:val="003B75A4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3B75A4"/>
    <w:pPr>
      <w:spacing w:line="252" w:lineRule="auto"/>
      <w:jc w:val="both"/>
    </w:pPr>
    <w:rPr>
      <w:rFonts w:ascii="Georgia" w:hAnsi="Georgia"/>
      <w:sz w:val="24"/>
      <w:szCs w:val="24"/>
      <w:lang w:val="en-GB"/>
    </w:rPr>
  </w:style>
  <w:style w:type="character" w:styleId="Emphasis">
    <w:name w:val="Emphasis"/>
    <w:basedOn w:val="DefaultParagraphFont"/>
    <w:uiPriority w:val="20"/>
    <w:rsid w:val="003B75A4"/>
    <w:rPr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rsid w:val="003B75A4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rsid w:val="003B75A4"/>
    <w:rPr>
      <w:rFonts w:ascii="Calibri Light" w:eastAsia="Times New Roman" w:hAnsi="Calibri Light" w:cs="Times New Roman"/>
      <w:color w:val="1F3763"/>
    </w:rPr>
  </w:style>
  <w:style w:type="paragraph" w:customStyle="1" w:styleId="ACNCproformalist">
    <w:name w:val="ACNC_proforma_list"/>
    <w:basedOn w:val="Normal"/>
    <w:rsid w:val="003B75A4"/>
    <w:pPr>
      <w:numPr>
        <w:numId w:val="5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3B75A4"/>
    <w:pPr>
      <w:numPr>
        <w:ilvl w:val="1"/>
        <w:numId w:val="4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3B75A4"/>
    <w:pPr>
      <w:numPr>
        <w:ilvl w:val="2"/>
        <w:numId w:val="4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3B75A4"/>
    <w:pPr>
      <w:keepNext w:val="0"/>
      <w:keepLines w:val="0"/>
      <w:numPr>
        <w:ilvl w:val="1"/>
      </w:numPr>
      <w:tabs>
        <w:tab w:val="num" w:pos="1559"/>
      </w:tabs>
      <w:spacing w:before="0" w:after="240" w:line="240" w:lineRule="auto"/>
      <w:ind w:left="1559" w:hanging="708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Number3">
    <w:name w:val="Number 3"/>
    <w:basedOn w:val="Heading3"/>
    <w:rsid w:val="003B75A4"/>
    <w:pPr>
      <w:keepNext w:val="0"/>
      <w:keepLines w:val="0"/>
      <w:numPr>
        <w:ilvl w:val="2"/>
      </w:numPr>
      <w:tabs>
        <w:tab w:val="num" w:pos="3829"/>
      </w:tabs>
      <w:spacing w:before="0" w:after="240" w:line="240" w:lineRule="auto"/>
      <w:ind w:left="3829" w:hanging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3B75A4"/>
    <w:pPr>
      <w:keepNext w:val="0"/>
      <w:keepLines w:val="0"/>
      <w:numPr>
        <w:ilvl w:val="1"/>
      </w:numP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before="0" w:after="240" w:line="240" w:lineRule="auto"/>
      <w:ind w:left="851" w:hanging="851"/>
    </w:pPr>
    <w:rPr>
      <w:rFonts w:ascii="Arial" w:eastAsia="Times New Roman" w:hAnsi="Arial" w:cs="Arial"/>
      <w:color w:val="auto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3B75A4"/>
    <w:rPr>
      <w:rFonts w:ascii="Arial" w:eastAsia="Times New Roman" w:hAnsi="Arial" w:cs="Arial"/>
      <w:szCs w:val="20"/>
      <w:lang w:val="en-AU"/>
    </w:rPr>
  </w:style>
  <w:style w:type="paragraph" w:customStyle="1" w:styleId="Level1">
    <w:name w:val="Level 1"/>
    <w:basedOn w:val="Normal"/>
    <w:rsid w:val="003B75A4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3B75A4"/>
    <w:pPr>
      <w:widowControl w:val="0"/>
      <w:numPr>
        <w:numId w:val="6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3B75A4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75A4"/>
    <w:rPr>
      <w:rFonts w:ascii="Calibri Light" w:eastAsia="Times New Roman" w:hAnsi="Calibri Light" w:cs="Times New Roman"/>
      <w:i/>
      <w:iCs/>
      <w:color w:val="404040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A4"/>
    <w:rPr>
      <w:rFonts w:ascii="Calibri Light" w:eastAsia="Times New Roman" w:hAnsi="Calibri Light" w:cs="Times New Roman"/>
      <w:color w:val="404040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A4"/>
    <w:rPr>
      <w:rFonts w:ascii="Calibri Light" w:eastAsia="Times New Roman" w:hAnsi="Calibri Light" w:cs="Times New Roman"/>
      <w:i/>
      <w:iCs/>
      <w:color w:val="404040"/>
      <w:sz w:val="20"/>
      <w:szCs w:val="20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B75A4"/>
    <w:rPr>
      <w:color w:val="954F72"/>
      <w:u w:val="single"/>
    </w:rPr>
  </w:style>
  <w:style w:type="character" w:customStyle="1" w:styleId="Strong1">
    <w:name w:val="Strong1"/>
    <w:basedOn w:val="DefaultParagraphFont"/>
    <w:uiPriority w:val="22"/>
    <w:rsid w:val="003B75A4"/>
    <w:rPr>
      <w:b/>
      <w:bCs/>
      <w:color w:val="000000"/>
    </w:rPr>
  </w:style>
  <w:style w:type="paragraph" w:customStyle="1" w:styleId="msonormal0">
    <w:name w:val="msonormal"/>
    <w:basedOn w:val="Normal"/>
    <w:uiPriority w:val="99"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75A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3B75A4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List1">
    <w:name w:val="List1"/>
    <w:basedOn w:val="Normal"/>
    <w:next w:val="List"/>
    <w:uiPriority w:val="99"/>
    <w:semiHidden/>
    <w:unhideWhenUsed/>
    <w:rsid w:val="003B75A4"/>
    <w:pPr>
      <w:spacing w:line="256" w:lineRule="auto"/>
      <w:ind w:left="283" w:hanging="283"/>
      <w:contextualSpacing/>
    </w:pPr>
    <w:rPr>
      <w:rFonts w:ascii="Cheltenham" w:eastAsia="Times New Roman" w:hAnsi="Cheltenham"/>
      <w:lang w:val="en-US" w:eastAsia="ja-JP"/>
    </w:rPr>
  </w:style>
  <w:style w:type="paragraph" w:customStyle="1" w:styleId="ListBullet1">
    <w:name w:val="List Bullet1"/>
    <w:basedOn w:val="Normal"/>
    <w:next w:val="ListBullet"/>
    <w:uiPriority w:val="99"/>
    <w:unhideWhenUsed/>
    <w:rsid w:val="003B75A4"/>
    <w:pPr>
      <w:numPr>
        <w:numId w:val="7"/>
      </w:numPr>
      <w:tabs>
        <w:tab w:val="clear" w:pos="360"/>
      </w:tabs>
      <w:spacing w:line="256" w:lineRule="auto"/>
      <w:contextualSpacing/>
    </w:pPr>
    <w:rPr>
      <w:rFonts w:ascii="Cheltenham" w:eastAsia="Times New Roman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3B75A4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B75A4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3B75A4"/>
    <w:rPr>
      <w:rFonts w:ascii="Cheltenham" w:hAnsi="Cheltenham"/>
      <w:sz w:val="22"/>
      <w:szCs w:val="22"/>
      <w:lang w:val="en-AU"/>
    </w:rPr>
  </w:style>
  <w:style w:type="paragraph" w:styleId="BodyTextIndent">
    <w:name w:val="Body Text Indent"/>
    <w:basedOn w:val="Normal"/>
    <w:link w:val="BodyTextIndent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B75A4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75A4"/>
    <w:rPr>
      <w:rFonts w:ascii="Arial" w:eastAsia="Times New Roman" w:hAnsi="Arial" w:cs="Times New Roman"/>
      <w:noProof/>
      <w:sz w:val="22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B75A4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75A4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uiPriority w:val="99"/>
    <w:semiHidden/>
    <w:unhideWhenUsed/>
    <w:rsid w:val="003B75A4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B75A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75A4"/>
    <w:rPr>
      <w:rFonts w:ascii="Calibri" w:hAnsi="Calibri"/>
      <w:sz w:val="22"/>
      <w:szCs w:val="21"/>
      <w:lang w:val="en-AU"/>
    </w:rPr>
  </w:style>
  <w:style w:type="paragraph" w:customStyle="1" w:styleId="CommentSubject1">
    <w:name w:val="Comment Subject1"/>
    <w:basedOn w:val="CommentText"/>
    <w:next w:val="CommentText"/>
    <w:uiPriority w:val="99"/>
    <w:unhideWhenUsed/>
    <w:rsid w:val="003B75A4"/>
    <w:pPr>
      <w:spacing w:after="200"/>
      <w:jc w:val="left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3B75A4"/>
    <w:rPr>
      <w:rFonts w:ascii="Times New Roman" w:eastAsia="Times New Roman" w:hAnsi="Times New Roman" w:cs="Times New Roman"/>
      <w:noProof/>
      <w:szCs w:val="20"/>
      <w:lang w:val="en-AU"/>
    </w:rPr>
  </w:style>
  <w:style w:type="paragraph" w:customStyle="1" w:styleId="Quote1">
    <w:name w:val="Quote1"/>
    <w:basedOn w:val="Normal"/>
    <w:next w:val="Normal"/>
    <w:uiPriority w:val="29"/>
    <w:rsid w:val="003B75A4"/>
    <w:pPr>
      <w:spacing w:before="160" w:line="256" w:lineRule="auto"/>
      <w:ind w:left="720" w:right="720"/>
    </w:pPr>
    <w:rPr>
      <w:rFonts w:ascii="Cheltenham" w:eastAsia="Times New Roman" w:hAnsi="Cheltenham"/>
      <w:i/>
      <w:iCs/>
      <w:color w:val="00000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75A4"/>
    <w:rPr>
      <w:rFonts w:ascii="Cheltenham" w:eastAsia="Times New Roman" w:hAnsi="Cheltenham"/>
      <w:i/>
      <w:iCs/>
      <w:color w:val="000000"/>
      <w:lang w:val="en-US" w:eastAsia="ja-JP"/>
    </w:rPr>
  </w:style>
  <w:style w:type="paragraph" w:customStyle="1" w:styleId="IntenseQuote1">
    <w:name w:val="Intense Quote1"/>
    <w:basedOn w:val="Normal"/>
    <w:next w:val="Normal"/>
    <w:uiPriority w:val="30"/>
    <w:rsid w:val="003B75A4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 w:line="256" w:lineRule="auto"/>
      <w:ind w:left="936" w:right="936"/>
      <w:jc w:val="center"/>
    </w:pPr>
    <w:rPr>
      <w:rFonts w:ascii="Cheltenham" w:eastAsia="Times New Roman" w:hAnsi="Cheltenham"/>
      <w:color w:val="00000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A4"/>
    <w:rPr>
      <w:rFonts w:ascii="Cheltenham" w:eastAsia="Times New Roman" w:hAnsi="Cheltenham"/>
      <w:color w:val="000000"/>
      <w:shd w:val="clear" w:color="auto" w:fill="F2F2F2"/>
      <w:lang w:val="en-US" w:eastAsia="ja-JP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3B75A4"/>
    <w:rPr>
      <w:rFonts w:ascii="Georgia" w:hAnsi="Georgia"/>
    </w:rPr>
  </w:style>
  <w:style w:type="paragraph" w:customStyle="1" w:styleId="BOR2">
    <w:name w:val="BOR 2"/>
    <w:basedOn w:val="Normal"/>
    <w:link w:val="BOR2Char"/>
    <w:rsid w:val="003B75A4"/>
    <w:pPr>
      <w:spacing w:line="252" w:lineRule="auto"/>
      <w:ind w:left="567"/>
      <w:jc w:val="both"/>
    </w:pPr>
    <w:rPr>
      <w:rFonts w:ascii="Georgia" w:hAnsi="Georgia"/>
      <w:sz w:val="24"/>
      <w:szCs w:val="24"/>
      <w:lang w:val="en-GB"/>
    </w:rPr>
  </w:style>
  <w:style w:type="paragraph" w:customStyle="1" w:styleId="p4">
    <w:name w:val="p4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3B75A4"/>
    <w:pPr>
      <w:numPr>
        <w:numId w:val="8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3B75A4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3B75A4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sz w:val="24"/>
      <w:szCs w:val="24"/>
      <w:lang w:val="en-GB" w:eastAsia="zh-TW"/>
    </w:rPr>
  </w:style>
  <w:style w:type="paragraph" w:customStyle="1" w:styleId="Body1">
    <w:name w:val="Body 1"/>
    <w:uiPriority w:val="99"/>
    <w:rsid w:val="003B75A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3B75A4"/>
    <w:rPr>
      <w:rFonts w:ascii="Georgia" w:eastAsiaTheme="majorEastAsia" w:hAnsi="Georgia" w:cstheme="majorBidi"/>
      <w:b w:val="0"/>
      <w:caps w:val="0"/>
      <w:color w:val="000000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3B75A4"/>
    <w:pPr>
      <w:pBdr>
        <w:bottom w:val="single" w:sz="4" w:space="1" w:color="595959"/>
      </w:pBdr>
      <w:spacing w:before="360" w:after="160" w:line="256" w:lineRule="auto"/>
      <w:ind w:left="432" w:hanging="432"/>
    </w:pPr>
    <w:rPr>
      <w:rFonts w:ascii="Georgia" w:hAnsi="Georgia"/>
      <w:b w:val="0"/>
      <w:caps w:val="0"/>
      <w:color w:val="000000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3B75A4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3B75A4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3B75A4"/>
    <w:rPr>
      <w:rFonts w:ascii="Georgia" w:hAnsi="Georgia"/>
      <w:b/>
    </w:rPr>
  </w:style>
  <w:style w:type="paragraph" w:customStyle="1" w:styleId="subhead">
    <w:name w:val="subhead"/>
    <w:basedOn w:val="Normal"/>
    <w:link w:val="subheadChar"/>
    <w:rsid w:val="003B75A4"/>
    <w:pPr>
      <w:spacing w:after="0" w:line="240" w:lineRule="auto"/>
      <w:ind w:left="360"/>
    </w:pPr>
    <w:rPr>
      <w:rFonts w:ascii="Georgia" w:hAnsi="Georgia"/>
      <w:b/>
      <w:sz w:val="24"/>
      <w:szCs w:val="24"/>
      <w:lang w:val="en-GB"/>
    </w:rPr>
  </w:style>
  <w:style w:type="paragraph" w:customStyle="1" w:styleId="chapter-1">
    <w:name w:val="chapter-1"/>
    <w:basedOn w:val="Normal"/>
    <w:uiPriority w:val="99"/>
    <w:rsid w:val="003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3B75A4"/>
    <w:rPr>
      <w:rFonts w:ascii="Helvetica" w:eastAsia="Arial Unicode MS" w:hAnsi="Arial Unicode MS" w:cs="Arial Unicode MS"/>
      <w:color w:val="000000"/>
      <w:sz w:val="22"/>
      <w:szCs w:val="22"/>
      <w:lang w:val="en-US" w:eastAsia="en-AU"/>
    </w:rPr>
  </w:style>
  <w:style w:type="paragraph" w:customStyle="1" w:styleId="c1">
    <w:name w:val="c1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3B75A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3B75A4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3B75A4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3B75A4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3B75A4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3B75A4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3B75A4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3B75A4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3B75A4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3B75A4"/>
    <w:rPr>
      <w:b/>
      <w:bCs/>
      <w:i/>
      <w:iCs/>
      <w:caps/>
    </w:rPr>
  </w:style>
  <w:style w:type="character" w:customStyle="1" w:styleId="SubtleReference1">
    <w:name w:val="Subtle Reference1"/>
    <w:basedOn w:val="DefaultParagraphFont"/>
    <w:uiPriority w:val="31"/>
    <w:rsid w:val="003B75A4"/>
    <w:rPr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32"/>
    <w:rsid w:val="003B75A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3B75A4"/>
    <w:rPr>
      <w:b w:val="0"/>
      <w:bCs w:val="0"/>
      <w:smallCaps/>
      <w:spacing w:val="5"/>
    </w:rPr>
  </w:style>
  <w:style w:type="table" w:customStyle="1" w:styleId="TableGrid41">
    <w:name w:val="Table Grid4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uiPriority w:val="59"/>
    <w:rsid w:val="003B75A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3B75A4"/>
    <w:pPr>
      <w:numPr>
        <w:numId w:val="9"/>
      </w:numPr>
    </w:pPr>
  </w:style>
  <w:style w:type="numbering" w:customStyle="1" w:styleId="List0">
    <w:name w:val="List 0"/>
    <w:rsid w:val="003B75A4"/>
    <w:pPr>
      <w:numPr>
        <w:numId w:val="10"/>
      </w:numPr>
    </w:pPr>
  </w:style>
  <w:style w:type="numbering" w:customStyle="1" w:styleId="WWNum19">
    <w:name w:val="WWNum19"/>
    <w:rsid w:val="003B75A4"/>
    <w:pPr>
      <w:numPr>
        <w:numId w:val="11"/>
      </w:numPr>
    </w:pPr>
  </w:style>
  <w:style w:type="numbering" w:customStyle="1" w:styleId="NoList1">
    <w:name w:val="No List1"/>
    <w:next w:val="NoList"/>
    <w:uiPriority w:val="99"/>
    <w:semiHidden/>
    <w:unhideWhenUsed/>
    <w:rsid w:val="003B75A4"/>
  </w:style>
  <w:style w:type="character" w:styleId="PageNumber">
    <w:name w:val="page number"/>
    <w:rsid w:val="003B75A4"/>
  </w:style>
  <w:style w:type="paragraph" w:customStyle="1" w:styleId="BodyText-6ptspacingafter">
    <w:name w:val="Body Text - 6pt spacing after"/>
    <w:basedOn w:val="BodyText"/>
    <w:link w:val="BodyText-6ptspacingafterChar"/>
    <w:qFormat/>
    <w:rsid w:val="003B75A4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3B75A4"/>
    <w:rPr>
      <w:rFonts w:ascii="Calibri" w:eastAsia="Times New Roman" w:hAnsi="Calibri" w:cs="Calibri"/>
      <w:sz w:val="22"/>
      <w:szCs w:val="22"/>
      <w:lang w:val="en-AU" w:eastAsia="en-AU" w:bidi="he-IL"/>
    </w:rPr>
  </w:style>
  <w:style w:type="table" w:customStyle="1" w:styleId="PlainTable41">
    <w:name w:val="Plain Table 41"/>
    <w:basedOn w:val="TableNormal"/>
    <w:next w:val="PlainTable4"/>
    <w:uiPriority w:val="44"/>
    <w:rsid w:val="003B75A4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Pa13">
    <w:name w:val="Pa13"/>
    <w:basedOn w:val="Normal"/>
    <w:next w:val="Normal"/>
    <w:uiPriority w:val="99"/>
    <w:rsid w:val="003B75A4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3B75A4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3B75A4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3B75A4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3B75A4"/>
    <w:pPr>
      <w:spacing w:after="100"/>
      <w:ind w:left="440"/>
    </w:pPr>
  </w:style>
  <w:style w:type="paragraph" w:customStyle="1" w:styleId="TOC41">
    <w:name w:val="TOC 41"/>
    <w:basedOn w:val="Normal"/>
    <w:next w:val="Normal"/>
    <w:autoRedefine/>
    <w:uiPriority w:val="39"/>
    <w:unhideWhenUsed/>
    <w:rsid w:val="003B75A4"/>
    <w:pPr>
      <w:spacing w:after="100"/>
      <w:ind w:left="660"/>
    </w:pPr>
    <w:rPr>
      <w:rFonts w:eastAsia="Times New Roman"/>
      <w:lang w:eastAsia="en-AU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3B75A4"/>
    <w:pPr>
      <w:spacing w:after="100"/>
      <w:ind w:left="880"/>
    </w:pPr>
    <w:rPr>
      <w:rFonts w:eastAsia="Times New Roman"/>
      <w:lang w:eastAsia="en-AU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3B75A4"/>
    <w:pPr>
      <w:spacing w:after="100"/>
      <w:ind w:left="1100"/>
    </w:pPr>
    <w:rPr>
      <w:rFonts w:eastAsia="Times New Roman"/>
      <w:lang w:eastAsia="en-AU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3B75A4"/>
    <w:pPr>
      <w:spacing w:after="100"/>
      <w:ind w:left="1320"/>
    </w:pPr>
    <w:rPr>
      <w:rFonts w:eastAsia="Times New Roman"/>
      <w:lang w:eastAsia="en-AU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3B75A4"/>
    <w:pPr>
      <w:spacing w:after="100"/>
      <w:ind w:left="1540"/>
    </w:pPr>
    <w:rPr>
      <w:rFonts w:eastAsia="Times New Roman"/>
      <w:lang w:eastAsia="en-AU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3B75A4"/>
    <w:pPr>
      <w:spacing w:after="100"/>
      <w:ind w:left="1760"/>
    </w:pPr>
    <w:rPr>
      <w:rFonts w:eastAsia="Times New Roman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75A4"/>
    <w:rPr>
      <w:color w:val="808080"/>
      <w:shd w:val="clear" w:color="auto" w:fill="E6E6E6"/>
    </w:rPr>
  </w:style>
  <w:style w:type="paragraph" w:styleId="Title">
    <w:name w:val="Title"/>
    <w:aliases w:val="Head 3"/>
    <w:basedOn w:val="Normal"/>
    <w:next w:val="Normal"/>
    <w:link w:val="TitleChar"/>
    <w:uiPriority w:val="10"/>
    <w:qFormat/>
    <w:rsid w:val="003B75A4"/>
    <w:pPr>
      <w:spacing w:after="0" w:line="240" w:lineRule="auto"/>
      <w:contextualSpacing/>
    </w:pPr>
    <w:rPr>
      <w:rFonts w:ascii="Calibri Light" w:eastAsia="Times New Roman" w:hAnsi="Calibri Light" w:cs="Times New Roman"/>
      <w:b/>
      <w:caps/>
      <w:spacing w:val="-10"/>
      <w:kern w:val="28"/>
      <w:sz w:val="24"/>
      <w:szCs w:val="56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3B75A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Heading4Char1">
    <w:name w:val="Heading 4 Char1"/>
    <w:basedOn w:val="DefaultParagraphFont"/>
    <w:link w:val="Heading4"/>
    <w:uiPriority w:val="9"/>
    <w:semiHidden/>
    <w:rsid w:val="003B75A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AU"/>
    </w:rPr>
  </w:style>
  <w:style w:type="character" w:styleId="SubtleEmphasis">
    <w:name w:val="Subtle Emphasis"/>
    <w:basedOn w:val="DefaultParagraphFont"/>
    <w:uiPriority w:val="19"/>
    <w:qFormat/>
    <w:rsid w:val="003B75A4"/>
    <w:rPr>
      <w:i/>
      <w:iCs/>
      <w:color w:val="404040" w:themeColor="text1" w:themeTint="BF"/>
    </w:rPr>
  </w:style>
  <w:style w:type="table" w:styleId="PlainTable1">
    <w:name w:val="Plain Table 1"/>
    <w:basedOn w:val="TableNormal"/>
    <w:uiPriority w:val="41"/>
    <w:rsid w:val="003B75A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5Char1">
    <w:name w:val="Heading 5 Char1"/>
    <w:basedOn w:val="DefaultParagraphFont"/>
    <w:link w:val="Heading5"/>
    <w:uiPriority w:val="9"/>
    <w:semiHidden/>
    <w:rsid w:val="003B75A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AU"/>
    </w:rPr>
  </w:style>
  <w:style w:type="character" w:customStyle="1" w:styleId="Heading6Char1">
    <w:name w:val="Heading 6 Char1"/>
    <w:basedOn w:val="DefaultParagraphFont"/>
    <w:link w:val="Heading6"/>
    <w:uiPriority w:val="9"/>
    <w:semiHidden/>
    <w:rsid w:val="003B75A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AU"/>
    </w:rPr>
  </w:style>
  <w:style w:type="character" w:customStyle="1" w:styleId="Heading7Char1">
    <w:name w:val="Heading 7 Char1"/>
    <w:basedOn w:val="DefaultParagraphFont"/>
    <w:link w:val="Heading7"/>
    <w:uiPriority w:val="9"/>
    <w:semiHidden/>
    <w:rsid w:val="003B75A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AU"/>
    </w:rPr>
  </w:style>
  <w:style w:type="character" w:customStyle="1" w:styleId="Heading8Char1">
    <w:name w:val="Heading 8 Char1"/>
    <w:basedOn w:val="DefaultParagraphFont"/>
    <w:link w:val="Heading8"/>
    <w:uiPriority w:val="9"/>
    <w:semiHidden/>
    <w:rsid w:val="003B75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1">
    <w:name w:val="Heading 9 Char1"/>
    <w:basedOn w:val="DefaultParagraphFont"/>
    <w:link w:val="Heading9"/>
    <w:uiPriority w:val="9"/>
    <w:semiHidden/>
    <w:rsid w:val="003B75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75A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B75A4"/>
    <w:rPr>
      <w:b/>
      <w:bCs/>
    </w:rPr>
  </w:style>
  <w:style w:type="paragraph" w:styleId="List">
    <w:name w:val="List"/>
    <w:basedOn w:val="Normal"/>
    <w:uiPriority w:val="99"/>
    <w:semiHidden/>
    <w:unhideWhenUsed/>
    <w:rsid w:val="003B75A4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3B75A4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B75A4"/>
    <w:pPr>
      <w:spacing w:after="160"/>
      <w:jc w:val="left"/>
    </w:pPr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3B75A4"/>
    <w:rPr>
      <w:rFonts w:ascii="Cheltenham" w:hAnsi="Cheltenham"/>
      <w:b/>
      <w:bCs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3B75A4"/>
    <w:pPr>
      <w:spacing w:before="200"/>
      <w:ind w:left="864" w:right="864"/>
      <w:jc w:val="center"/>
    </w:pPr>
    <w:rPr>
      <w:rFonts w:ascii="Cheltenham" w:eastAsia="Times New Roman" w:hAnsi="Cheltenham"/>
      <w:i/>
      <w:iCs/>
      <w:color w:val="000000"/>
      <w:sz w:val="24"/>
      <w:szCs w:val="24"/>
      <w:lang w:val="en-US" w:eastAsia="ja-JP"/>
    </w:rPr>
  </w:style>
  <w:style w:type="character" w:customStyle="1" w:styleId="QuoteChar1">
    <w:name w:val="Quote Char1"/>
    <w:basedOn w:val="DefaultParagraphFont"/>
    <w:link w:val="Quote"/>
    <w:uiPriority w:val="29"/>
    <w:rsid w:val="003B75A4"/>
    <w:rPr>
      <w:i/>
      <w:iCs/>
      <w:color w:val="404040" w:themeColor="text1" w:themeTint="BF"/>
      <w:sz w:val="22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heltenham" w:eastAsia="Times New Roman" w:hAnsi="Cheltenham"/>
      <w:color w:val="000000"/>
      <w:sz w:val="24"/>
      <w:szCs w:val="24"/>
      <w:lang w:val="en-US" w:eastAsia="ja-JP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B75A4"/>
    <w:rPr>
      <w:i/>
      <w:iCs/>
      <w:color w:val="5B9BD5" w:themeColor="accent1"/>
      <w:sz w:val="22"/>
      <w:szCs w:val="22"/>
      <w:lang w:val="en-AU"/>
    </w:rPr>
  </w:style>
  <w:style w:type="character" w:styleId="SubtleReference">
    <w:name w:val="Subtle Reference"/>
    <w:basedOn w:val="DefaultParagraphFont"/>
    <w:uiPriority w:val="31"/>
    <w:qFormat/>
    <w:rsid w:val="003B75A4"/>
    <w:rPr>
      <w:smallCaps/>
      <w:color w:val="5A5A5A" w:themeColor="text1" w:themeTint="A5"/>
    </w:rPr>
  </w:style>
  <w:style w:type="table" w:styleId="PlainTable4">
    <w:name w:val="Plain Table 4"/>
    <w:basedOn w:val="TableNormal"/>
    <w:uiPriority w:val="44"/>
    <w:rsid w:val="003B75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75A4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3B75A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391A3C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2">
    <w:name w:val="Plain Table 12"/>
    <w:basedOn w:val="TableNormal"/>
    <w:next w:val="PlainTable1"/>
    <w:uiPriority w:val="41"/>
    <w:rsid w:val="00391A3C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2">
    <w:name w:val="Table Grid1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2">
    <w:name w:val="Plain Table 32"/>
    <w:basedOn w:val="TableNormal"/>
    <w:next w:val="PlainTable3"/>
    <w:uiPriority w:val="43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2">
    <w:name w:val="Caption2"/>
    <w:basedOn w:val="Normal"/>
    <w:next w:val="Normal"/>
    <w:uiPriority w:val="35"/>
    <w:semiHidden/>
    <w:unhideWhenUsed/>
    <w:qFormat/>
    <w:rsid w:val="00391A3C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2">
    <w:name w:val="TOC Heading2"/>
    <w:basedOn w:val="Heading1"/>
    <w:next w:val="Normal"/>
    <w:uiPriority w:val="39"/>
    <w:unhideWhenUsed/>
    <w:qFormat/>
    <w:rsid w:val="00391A3C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2">
    <w:name w:val="Table Grid4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uiPriority w:val="59"/>
    <w:rsid w:val="00391A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1">
    <w:name w:val="Style21"/>
    <w:uiPriority w:val="99"/>
    <w:rsid w:val="00391A3C"/>
    <w:pPr>
      <w:numPr>
        <w:numId w:val="2"/>
      </w:numPr>
    </w:pPr>
  </w:style>
  <w:style w:type="numbering" w:customStyle="1" w:styleId="List01">
    <w:name w:val="List 01"/>
    <w:rsid w:val="00391A3C"/>
    <w:pPr>
      <w:numPr>
        <w:numId w:val="3"/>
      </w:numPr>
    </w:pPr>
  </w:style>
  <w:style w:type="numbering" w:customStyle="1" w:styleId="WWNum191">
    <w:name w:val="WWNum191"/>
    <w:rsid w:val="00391A3C"/>
    <w:pPr>
      <w:numPr>
        <w:numId w:val="12"/>
      </w:numPr>
    </w:pPr>
  </w:style>
  <w:style w:type="table" w:customStyle="1" w:styleId="PlainTable42">
    <w:name w:val="Plain Table 42"/>
    <w:basedOn w:val="TableNormal"/>
    <w:next w:val="PlainTable4"/>
    <w:uiPriority w:val="44"/>
    <w:rsid w:val="00391A3C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2">
    <w:name w:val="Medium Shading 1 - Accent 12"/>
    <w:basedOn w:val="TableNormal"/>
    <w:next w:val="MediumShading1-Accent1"/>
    <w:uiPriority w:val="63"/>
    <w:semiHidden/>
    <w:unhideWhenUsed/>
    <w:rsid w:val="00391A3C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2">
    <w:name w:val="Table Grid Light2"/>
    <w:basedOn w:val="TableNormal"/>
    <w:next w:val="TableGridLight"/>
    <w:uiPriority w:val="40"/>
    <w:rsid w:val="00391A3C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2">
    <w:name w:val="TOC 42"/>
    <w:basedOn w:val="Normal"/>
    <w:next w:val="Normal"/>
    <w:autoRedefine/>
    <w:uiPriority w:val="39"/>
    <w:unhideWhenUsed/>
    <w:rsid w:val="00391A3C"/>
    <w:pPr>
      <w:spacing w:after="100"/>
      <w:ind w:left="660"/>
    </w:pPr>
    <w:rPr>
      <w:rFonts w:eastAsia="Times New Roman"/>
      <w:lang w:eastAsia="en-AU"/>
    </w:rPr>
  </w:style>
  <w:style w:type="paragraph" w:customStyle="1" w:styleId="TOC52">
    <w:name w:val="TOC 52"/>
    <w:basedOn w:val="Normal"/>
    <w:next w:val="Normal"/>
    <w:autoRedefine/>
    <w:uiPriority w:val="39"/>
    <w:unhideWhenUsed/>
    <w:rsid w:val="00391A3C"/>
    <w:pPr>
      <w:spacing w:after="100"/>
      <w:ind w:left="880"/>
    </w:pPr>
    <w:rPr>
      <w:rFonts w:eastAsia="Times New Roman"/>
      <w:lang w:eastAsia="en-AU"/>
    </w:rPr>
  </w:style>
  <w:style w:type="paragraph" w:customStyle="1" w:styleId="TOC62">
    <w:name w:val="TOC 62"/>
    <w:basedOn w:val="Normal"/>
    <w:next w:val="Normal"/>
    <w:autoRedefine/>
    <w:uiPriority w:val="39"/>
    <w:unhideWhenUsed/>
    <w:rsid w:val="00391A3C"/>
    <w:pPr>
      <w:spacing w:after="100"/>
      <w:ind w:left="1100"/>
    </w:pPr>
    <w:rPr>
      <w:rFonts w:eastAsia="Times New Roman"/>
      <w:lang w:eastAsia="en-AU"/>
    </w:rPr>
  </w:style>
  <w:style w:type="paragraph" w:customStyle="1" w:styleId="TOC72">
    <w:name w:val="TOC 72"/>
    <w:basedOn w:val="Normal"/>
    <w:next w:val="Normal"/>
    <w:autoRedefine/>
    <w:uiPriority w:val="39"/>
    <w:unhideWhenUsed/>
    <w:rsid w:val="00391A3C"/>
    <w:pPr>
      <w:spacing w:after="100"/>
      <w:ind w:left="1320"/>
    </w:pPr>
    <w:rPr>
      <w:rFonts w:eastAsia="Times New Roman"/>
      <w:lang w:eastAsia="en-AU"/>
    </w:rPr>
  </w:style>
  <w:style w:type="paragraph" w:customStyle="1" w:styleId="TOC82">
    <w:name w:val="TOC 82"/>
    <w:basedOn w:val="Normal"/>
    <w:next w:val="Normal"/>
    <w:autoRedefine/>
    <w:uiPriority w:val="39"/>
    <w:unhideWhenUsed/>
    <w:rsid w:val="00391A3C"/>
    <w:pPr>
      <w:spacing w:after="100"/>
      <w:ind w:left="1540"/>
    </w:pPr>
    <w:rPr>
      <w:rFonts w:eastAsia="Times New Roman"/>
      <w:lang w:eastAsia="en-AU"/>
    </w:rPr>
  </w:style>
  <w:style w:type="paragraph" w:customStyle="1" w:styleId="TOC92">
    <w:name w:val="TOC 92"/>
    <w:basedOn w:val="Normal"/>
    <w:next w:val="Normal"/>
    <w:autoRedefine/>
    <w:uiPriority w:val="39"/>
    <w:unhideWhenUsed/>
    <w:rsid w:val="00391A3C"/>
    <w:pPr>
      <w:spacing w:after="100"/>
      <w:ind w:left="1760"/>
    </w:pPr>
    <w:rPr>
      <w:rFonts w:eastAsia="Times New Roman"/>
      <w:lang w:eastAsia="en-AU"/>
    </w:rPr>
  </w:style>
  <w:style w:type="table" w:customStyle="1" w:styleId="TableGrid6">
    <w:name w:val="Table Grid6"/>
    <w:basedOn w:val="TableNormal"/>
    <w:next w:val="TableGrid"/>
    <w:uiPriority w:val="39"/>
    <w:rsid w:val="004E58A9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3">
    <w:name w:val="Plain Table 13"/>
    <w:basedOn w:val="TableNormal"/>
    <w:next w:val="PlainTable1"/>
    <w:uiPriority w:val="41"/>
    <w:rsid w:val="004E58A9"/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3">
    <w:name w:val="Table Grid1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3">
    <w:name w:val="Plain Table 33"/>
    <w:basedOn w:val="TableNormal"/>
    <w:next w:val="PlainTable3"/>
    <w:uiPriority w:val="43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aption3">
    <w:name w:val="Caption3"/>
    <w:basedOn w:val="Normal"/>
    <w:next w:val="Normal"/>
    <w:uiPriority w:val="35"/>
    <w:semiHidden/>
    <w:unhideWhenUsed/>
    <w:qFormat/>
    <w:rsid w:val="004E58A9"/>
    <w:pPr>
      <w:spacing w:after="200" w:line="240" w:lineRule="auto"/>
    </w:pPr>
    <w:rPr>
      <w:rFonts w:ascii="Cheltenham" w:eastAsia="Times New Roman" w:hAnsi="Cheltenham"/>
      <w:i/>
      <w:iCs/>
      <w:color w:val="44546A"/>
      <w:sz w:val="18"/>
      <w:szCs w:val="18"/>
      <w:lang w:val="en-US" w:eastAsia="ja-JP"/>
    </w:rPr>
  </w:style>
  <w:style w:type="paragraph" w:customStyle="1" w:styleId="TOCHeading3">
    <w:name w:val="TOC Heading3"/>
    <w:basedOn w:val="Heading1"/>
    <w:next w:val="Normal"/>
    <w:uiPriority w:val="39"/>
    <w:unhideWhenUsed/>
    <w:qFormat/>
    <w:rsid w:val="004E58A9"/>
    <w:pPr>
      <w:pBdr>
        <w:bottom w:val="single" w:sz="4" w:space="1" w:color="595959"/>
      </w:pBdr>
      <w:spacing w:before="360" w:after="160" w:line="256" w:lineRule="auto"/>
      <w:ind w:left="432" w:hanging="432"/>
      <w:outlineLvl w:val="9"/>
    </w:pPr>
    <w:rPr>
      <w:rFonts w:ascii="Calibri Light" w:hAnsi="Calibri Light"/>
      <w:bCs/>
      <w:caps w:val="0"/>
      <w:smallCaps/>
      <w:color w:val="000000"/>
      <w:sz w:val="36"/>
      <w:szCs w:val="36"/>
      <w:lang w:val="en-US" w:eastAsia="ja-JP"/>
    </w:rPr>
  </w:style>
  <w:style w:type="table" w:customStyle="1" w:styleId="TableGrid43">
    <w:name w:val="Table Grid4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uiPriority w:val="59"/>
    <w:rsid w:val="004E58A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2">
    <w:name w:val="Style22"/>
    <w:uiPriority w:val="99"/>
    <w:rsid w:val="004E58A9"/>
    <w:pPr>
      <w:numPr>
        <w:numId w:val="2"/>
      </w:numPr>
    </w:pPr>
  </w:style>
  <w:style w:type="numbering" w:customStyle="1" w:styleId="List02">
    <w:name w:val="List 02"/>
    <w:rsid w:val="004E58A9"/>
    <w:pPr>
      <w:numPr>
        <w:numId w:val="3"/>
      </w:numPr>
    </w:pPr>
  </w:style>
  <w:style w:type="numbering" w:customStyle="1" w:styleId="WWNum192">
    <w:name w:val="WWNum192"/>
    <w:rsid w:val="004E58A9"/>
    <w:pPr>
      <w:numPr>
        <w:numId w:val="12"/>
      </w:numPr>
    </w:pPr>
  </w:style>
  <w:style w:type="table" w:customStyle="1" w:styleId="PlainTable43">
    <w:name w:val="Plain Table 43"/>
    <w:basedOn w:val="TableNormal"/>
    <w:next w:val="PlainTable4"/>
    <w:uiPriority w:val="44"/>
    <w:rsid w:val="004E58A9"/>
    <w:rPr>
      <w:sz w:val="22"/>
      <w:szCs w:val="22"/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MediumShading1-Accent13">
    <w:name w:val="Medium Shading 1 - Accent 13"/>
    <w:basedOn w:val="TableNormal"/>
    <w:next w:val="MediumShading1-Accent1"/>
    <w:uiPriority w:val="63"/>
    <w:semiHidden/>
    <w:unhideWhenUsed/>
    <w:rsid w:val="004E58A9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3">
    <w:name w:val="Table Grid Light3"/>
    <w:basedOn w:val="TableNormal"/>
    <w:next w:val="TableGridLight"/>
    <w:uiPriority w:val="40"/>
    <w:rsid w:val="004E58A9"/>
    <w:rPr>
      <w:sz w:val="22"/>
      <w:szCs w:val="22"/>
      <w:lang w:val="en-A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43">
    <w:name w:val="TOC 43"/>
    <w:basedOn w:val="Normal"/>
    <w:next w:val="Normal"/>
    <w:autoRedefine/>
    <w:uiPriority w:val="39"/>
    <w:unhideWhenUsed/>
    <w:rsid w:val="004E58A9"/>
    <w:pPr>
      <w:spacing w:after="100"/>
      <w:ind w:left="660"/>
    </w:pPr>
    <w:rPr>
      <w:rFonts w:eastAsia="Times New Roman"/>
      <w:lang w:eastAsia="en-AU"/>
    </w:rPr>
  </w:style>
  <w:style w:type="paragraph" w:customStyle="1" w:styleId="TOC53">
    <w:name w:val="TOC 53"/>
    <w:basedOn w:val="Normal"/>
    <w:next w:val="Normal"/>
    <w:autoRedefine/>
    <w:uiPriority w:val="39"/>
    <w:unhideWhenUsed/>
    <w:rsid w:val="004E58A9"/>
    <w:pPr>
      <w:spacing w:after="100"/>
      <w:ind w:left="880"/>
    </w:pPr>
    <w:rPr>
      <w:rFonts w:eastAsia="Times New Roman"/>
      <w:lang w:eastAsia="en-AU"/>
    </w:rPr>
  </w:style>
  <w:style w:type="paragraph" w:customStyle="1" w:styleId="TOC63">
    <w:name w:val="TOC 63"/>
    <w:basedOn w:val="Normal"/>
    <w:next w:val="Normal"/>
    <w:autoRedefine/>
    <w:uiPriority w:val="39"/>
    <w:unhideWhenUsed/>
    <w:rsid w:val="004E58A9"/>
    <w:pPr>
      <w:spacing w:after="100"/>
      <w:ind w:left="1100"/>
    </w:pPr>
    <w:rPr>
      <w:rFonts w:eastAsia="Times New Roman"/>
      <w:lang w:eastAsia="en-AU"/>
    </w:rPr>
  </w:style>
  <w:style w:type="paragraph" w:customStyle="1" w:styleId="TOC73">
    <w:name w:val="TOC 73"/>
    <w:basedOn w:val="Normal"/>
    <w:next w:val="Normal"/>
    <w:autoRedefine/>
    <w:uiPriority w:val="39"/>
    <w:unhideWhenUsed/>
    <w:rsid w:val="004E58A9"/>
    <w:pPr>
      <w:spacing w:after="100"/>
      <w:ind w:left="1320"/>
    </w:pPr>
    <w:rPr>
      <w:rFonts w:eastAsia="Times New Roman"/>
      <w:lang w:eastAsia="en-AU"/>
    </w:rPr>
  </w:style>
  <w:style w:type="paragraph" w:customStyle="1" w:styleId="TOC83">
    <w:name w:val="TOC 83"/>
    <w:basedOn w:val="Normal"/>
    <w:next w:val="Normal"/>
    <w:autoRedefine/>
    <w:uiPriority w:val="39"/>
    <w:unhideWhenUsed/>
    <w:rsid w:val="004E58A9"/>
    <w:pPr>
      <w:spacing w:after="100"/>
      <w:ind w:left="1540"/>
    </w:pPr>
    <w:rPr>
      <w:rFonts w:eastAsia="Times New Roman"/>
      <w:lang w:eastAsia="en-AU"/>
    </w:rPr>
  </w:style>
  <w:style w:type="paragraph" w:customStyle="1" w:styleId="TOC93">
    <w:name w:val="TOC 93"/>
    <w:basedOn w:val="Normal"/>
    <w:next w:val="Normal"/>
    <w:autoRedefine/>
    <w:uiPriority w:val="39"/>
    <w:unhideWhenUsed/>
    <w:rsid w:val="004E58A9"/>
    <w:pPr>
      <w:spacing w:after="100"/>
      <w:ind w:left="1760"/>
    </w:pPr>
    <w:rPr>
      <w:rFonts w:eastAsia="Times New Roman"/>
      <w:lang w:eastAsia="en-AU"/>
    </w:rPr>
  </w:style>
  <w:style w:type="numbering" w:customStyle="1" w:styleId="WWNum193">
    <w:name w:val="WWNum193"/>
    <w:rsid w:val="00654E98"/>
    <w:pPr>
      <w:numPr>
        <w:numId w:val="12"/>
      </w:numPr>
    </w:pPr>
  </w:style>
  <w:style w:type="table" w:customStyle="1" w:styleId="TableGrid7">
    <w:name w:val="Table Grid7"/>
    <w:basedOn w:val="TableNormal"/>
    <w:next w:val="TableGrid"/>
    <w:uiPriority w:val="39"/>
    <w:rsid w:val="005F7844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FD7732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9259DF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FA713E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39"/>
    <w:rsid w:val="00A41301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39"/>
    <w:rsid w:val="00813EC0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39"/>
    <w:rsid w:val="00D264C5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C75722-AD18-4E77-972F-EF22CB8BCCCB}"/>
</file>

<file path=customXml/itemProps2.xml><?xml version="1.0" encoding="utf-8"?>
<ds:datastoreItem xmlns:ds="http://schemas.openxmlformats.org/officeDocument/2006/customXml" ds:itemID="{53C8EF49-E915-4912-8AFA-D091B6D19527}"/>
</file>

<file path=customXml/itemProps3.xml><?xml version="1.0" encoding="utf-8"?>
<ds:datastoreItem xmlns:ds="http://schemas.openxmlformats.org/officeDocument/2006/customXml" ds:itemID="{B1B92DBE-4499-4814-8B87-7E8E80E5F40C}"/>
</file>

<file path=customXml/itemProps4.xml><?xml version="1.0" encoding="utf-8"?>
<ds:datastoreItem xmlns:ds="http://schemas.openxmlformats.org/officeDocument/2006/customXml" ds:itemID="{E128F36D-EDD2-4BD9-B097-AA033111B3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2592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    agenda 8.1</vt:lpstr>
      <vt:lpstr>    Commission on Worship</vt:lpstr>
      <vt:lpstr>        MEMBERS</vt:lpstr>
      <vt:lpstr>        Purpose</vt:lpstr>
      <vt:lpstr>        Achievements in Synodical Period against Plan</vt:lpstr>
      <vt:lpstr>        Successes</vt:lpstr>
      <vt:lpstr>        Challenges and Lessons Learned</vt:lpstr>
      <vt:lpstr>        Risks</vt:lpstr>
      <vt:lpstr>        Alignment to LCA Strategic Direction </vt:lpstr>
      <vt:lpstr>        Cooperating LCA Boards and Agencies</vt:lpstr>
      <vt:lpstr>        Financial Performance</vt:lpstr>
    </vt:vector>
  </TitlesOfParts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2018-09-09T03:26:00Z</dcterms:created>
  <dcterms:modified xsi:type="dcterms:W3CDTF">2018-09-09T03:26:00Z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