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FB8DC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  <w:r>
        <w:rPr>
          <w:rFonts w:ascii="Century Gothic" w:hAnsi="Century Gothic" w:cs="Calibri"/>
          <w:b/>
          <w:noProof/>
          <w:kern w:val="36"/>
          <w:sz w:val="36"/>
          <w:lang w:eastAsia="en-AU"/>
        </w:rPr>
        <w:drawing>
          <wp:anchor distT="0" distB="0" distL="114300" distR="114300" simplePos="0" relativeHeight="251658240" behindDoc="0" locked="0" layoutInCell="1" allowOverlap="1" wp14:anchorId="1B7FB920" wp14:editId="1B7FB921">
            <wp:simplePos x="2910840" y="716280"/>
            <wp:positionH relativeFrom="margin">
              <wp:align>right</wp:align>
            </wp:positionH>
            <wp:positionV relativeFrom="margin">
              <wp:align>top</wp:align>
            </wp:positionV>
            <wp:extent cx="1727835" cy="122364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_logo_WLCTL_horizontal2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FB8DD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</w:p>
    <w:p w14:paraId="1B7FB8DE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</w:p>
    <w:p w14:paraId="1B7FB8DF" w14:textId="77777777" w:rsidR="004C2D6E" w:rsidRPr="004C2D6E" w:rsidRDefault="0087663B" w:rsidP="004C2D6E">
      <w:pPr>
        <w:keepNext/>
        <w:spacing w:after="240" w:line="240" w:lineRule="auto"/>
        <w:outlineLvl w:val="0"/>
        <w:rPr>
          <w:rFonts w:ascii="Century Gothic" w:hAnsi="Century Gothic" w:cs="Calibri"/>
          <w:kern w:val="36"/>
          <w:sz w:val="40"/>
          <w:lang w:val="en-US" w:eastAsia="en-AU" w:bidi="he-IL"/>
        </w:rPr>
      </w:pPr>
      <w:r w:rsidRPr="004C2D6E">
        <w:rPr>
          <w:rFonts w:ascii="Century Gothic" w:hAnsi="Century Gothic" w:cs="Calibri"/>
          <w:kern w:val="36"/>
          <w:sz w:val="40"/>
          <w:lang w:val="en-US" w:eastAsia="en-AU" w:bidi="he-IL"/>
        </w:rPr>
        <w:t>P</w:t>
      </w:r>
      <w:r w:rsidR="004C2D6E" w:rsidRPr="004C2D6E">
        <w:rPr>
          <w:rFonts w:ascii="Century Gothic" w:hAnsi="Century Gothic" w:cs="Calibri"/>
          <w:kern w:val="36"/>
          <w:sz w:val="40"/>
          <w:lang w:val="en-US" w:eastAsia="en-AU" w:bidi="he-IL"/>
        </w:rPr>
        <w:t>osition Description</w:t>
      </w:r>
    </w:p>
    <w:p w14:paraId="1B7FB8E0" w14:textId="77777777" w:rsidR="0087663B" w:rsidRPr="004C2D6E" w:rsidRDefault="004C2D6E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</w:pPr>
      <w:r w:rsidRPr="004C2D6E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>Title</w:t>
      </w:r>
      <w:r w:rsidR="002A4532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ab/>
      </w:r>
      <w:r w:rsidR="00F87ABA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>LCA Aged Care and Community Services Governance Support</w:t>
      </w:r>
      <w:r w:rsidR="008E2ABB" w:rsidRPr="004C2D6E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 xml:space="preserve"> Coordinator</w:t>
      </w:r>
    </w:p>
    <w:p w14:paraId="1B7FB8E1" w14:textId="77777777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Line manager</w:t>
      </w:r>
      <w:r w:rsidR="0087663B" w:rsidRPr="004C2D6E">
        <w:rPr>
          <w:rFonts w:ascii="Century Gothic" w:hAnsi="Century Gothic" w:cs="Calibri"/>
          <w:lang w:eastAsia="en-AU" w:bidi="he-IL"/>
        </w:rPr>
        <w:tab/>
        <w:t>Executive Officer of the Church</w:t>
      </w:r>
    </w:p>
    <w:p w14:paraId="1B7FB8E2" w14:textId="77777777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LCA unit</w:t>
      </w:r>
      <w:r w:rsidR="0087663B" w:rsidRPr="004C2D6E">
        <w:rPr>
          <w:rFonts w:ascii="Century Gothic" w:hAnsi="Century Gothic" w:cs="Calibri"/>
          <w:lang w:eastAsia="en-AU" w:bidi="he-IL"/>
        </w:rPr>
        <w:tab/>
      </w:r>
      <w:r w:rsidR="002A4532">
        <w:rPr>
          <w:rFonts w:ascii="Century Gothic" w:hAnsi="Century Gothic" w:cs="Calibri"/>
          <w:bCs/>
          <w:lang w:val="en-GB" w:eastAsia="en-AU" w:bidi="he-IL"/>
        </w:rPr>
        <w:t>Not applicable</w:t>
      </w:r>
    </w:p>
    <w:p w14:paraId="1B7FB8E3" w14:textId="77777777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Classification</w:t>
      </w:r>
      <w:r w:rsidR="00F87ABA">
        <w:rPr>
          <w:rFonts w:ascii="Century Gothic" w:hAnsi="Century Gothic" w:cs="Calibri"/>
          <w:lang w:eastAsia="en-AU" w:bidi="he-IL"/>
        </w:rPr>
        <w:tab/>
        <w:t>Contract-based Position</w:t>
      </w:r>
    </w:p>
    <w:p w14:paraId="1B7FB8E4" w14:textId="522A356A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Employment period</w:t>
      </w:r>
      <w:r w:rsidR="00F87ABA">
        <w:rPr>
          <w:rFonts w:ascii="Century Gothic" w:hAnsi="Century Gothic" w:cs="Calibri"/>
          <w:lang w:eastAsia="en-AU" w:bidi="he-IL"/>
        </w:rPr>
        <w:tab/>
        <w:t>18</w:t>
      </w:r>
      <w:r w:rsidR="002A4532">
        <w:rPr>
          <w:rFonts w:ascii="Century Gothic" w:hAnsi="Century Gothic" w:cs="Calibri"/>
          <w:lang w:eastAsia="en-AU" w:bidi="he-IL"/>
        </w:rPr>
        <w:t xml:space="preserve"> months</w:t>
      </w:r>
      <w:r w:rsidR="00C95992">
        <w:rPr>
          <w:rFonts w:ascii="Century Gothic" w:hAnsi="Century Gothic" w:cs="Calibri"/>
          <w:lang w:eastAsia="en-AU" w:bidi="he-IL"/>
        </w:rPr>
        <w:t xml:space="preserve"> (with possibility of an extension)</w:t>
      </w:r>
    </w:p>
    <w:p w14:paraId="1B7FB8E5" w14:textId="77777777" w:rsidR="0087663B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FTE</w:t>
      </w:r>
      <w:r w:rsidR="003E1A98">
        <w:rPr>
          <w:rFonts w:ascii="Century Gothic" w:hAnsi="Century Gothic" w:cs="Calibri"/>
          <w:lang w:eastAsia="en-AU" w:bidi="he-IL"/>
        </w:rPr>
        <w:tab/>
        <w:t>0.6</w:t>
      </w:r>
    </w:p>
    <w:p w14:paraId="38500E0E" w14:textId="497F938E" w:rsidR="00C95992" w:rsidRPr="004C2D6E" w:rsidRDefault="00C95992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Location</w:t>
      </w:r>
      <w:r>
        <w:rPr>
          <w:rFonts w:ascii="Century Gothic" w:hAnsi="Century Gothic" w:cs="Calibri"/>
          <w:lang w:eastAsia="en-AU" w:bidi="he-IL"/>
        </w:rPr>
        <w:tab/>
        <w:t>Negotiable</w:t>
      </w:r>
    </w:p>
    <w:p w14:paraId="1B7FB8E6" w14:textId="77777777" w:rsidR="0087663B" w:rsidRPr="004C2D6E" w:rsidRDefault="0087663B" w:rsidP="0087663B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E7" w14:textId="77777777" w:rsidR="004C2D6E" w:rsidRDefault="004C2D6E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/>
          <w:bCs/>
          <w:kern w:val="32"/>
          <w:sz w:val="28"/>
          <w:szCs w:val="32"/>
          <w:lang w:eastAsia="en-AU" w:bidi="he-IL"/>
        </w:rPr>
      </w:pPr>
    </w:p>
    <w:p w14:paraId="1B7FB8E8" w14:textId="77777777" w:rsidR="0087663B" w:rsidRPr="009C6B85" w:rsidRDefault="0087663B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  <w:r w:rsidRPr="009C6B85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Objective of position</w:t>
      </w:r>
    </w:p>
    <w:p w14:paraId="1B7FB8E9" w14:textId="77777777" w:rsidR="0087663B" w:rsidRPr="009C6B85" w:rsidRDefault="00D077FA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This position:</w:t>
      </w:r>
    </w:p>
    <w:p w14:paraId="1B7FB8EA" w14:textId="77777777" w:rsidR="0087663B" w:rsidRPr="009C6B85" w:rsidRDefault="008D62A5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provides</w:t>
      </w:r>
      <w:r w:rsidR="00F87ABA">
        <w:rPr>
          <w:rFonts w:ascii="Century Gothic" w:hAnsi="Century Gothic" w:cs="Calibri"/>
          <w:lang w:eastAsia="en-AU" w:bidi="he-IL"/>
        </w:rPr>
        <w:t xml:space="preserve"> </w:t>
      </w:r>
      <w:r w:rsidR="00BC63BC">
        <w:rPr>
          <w:rFonts w:ascii="Century Gothic" w:hAnsi="Century Gothic" w:cs="Calibri"/>
          <w:lang w:eastAsia="en-AU" w:bidi="he-IL"/>
        </w:rPr>
        <w:t xml:space="preserve">governance and management-related </w:t>
      </w:r>
      <w:r w:rsidR="00F87ABA">
        <w:rPr>
          <w:rFonts w:ascii="Century Gothic" w:hAnsi="Century Gothic" w:cs="Calibri"/>
          <w:lang w:eastAsia="en-AU" w:bidi="he-IL"/>
        </w:rPr>
        <w:t xml:space="preserve">support to the Lutheran Aged Care and Community Service organisations, particularly small and/or remote services </w:t>
      </w:r>
    </w:p>
    <w:p w14:paraId="1B7FB8EB" w14:textId="77777777" w:rsidR="0087663B" w:rsidRPr="009C6B85" w:rsidRDefault="008D62A5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coordinate</w:t>
      </w:r>
      <w:r w:rsidR="00C5158F" w:rsidRPr="009C6B85">
        <w:rPr>
          <w:rFonts w:ascii="Century Gothic" w:hAnsi="Century Gothic" w:cs="Calibri"/>
          <w:lang w:eastAsia="en-AU" w:bidi="he-IL"/>
        </w:rPr>
        <w:t>s operational and practical</w:t>
      </w:r>
      <w:r w:rsidR="0087663B" w:rsidRPr="009C6B85">
        <w:rPr>
          <w:rFonts w:ascii="Century Gothic" w:hAnsi="Century Gothic" w:cs="Calibri"/>
          <w:lang w:eastAsia="en-AU" w:bidi="he-IL"/>
        </w:rPr>
        <w:t xml:space="preserve"> collabo</w:t>
      </w:r>
      <w:r>
        <w:rPr>
          <w:rFonts w:ascii="Century Gothic" w:hAnsi="Century Gothic" w:cs="Calibri"/>
          <w:lang w:eastAsia="en-AU" w:bidi="he-IL"/>
        </w:rPr>
        <w:t>ration and coordination between the organisations and the wider Church</w:t>
      </w:r>
    </w:p>
    <w:p w14:paraId="1B7FB8EC" w14:textId="77777777" w:rsidR="004C2D6E" w:rsidRPr="009C6B85" w:rsidRDefault="008D62A5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facilitates effective and efficient communication between the organisations and </w:t>
      </w:r>
      <w:r w:rsidR="009C5CF6">
        <w:rPr>
          <w:rFonts w:ascii="Century Gothic" w:hAnsi="Century Gothic" w:cs="Calibri"/>
          <w:lang w:eastAsia="en-AU" w:bidi="he-IL"/>
        </w:rPr>
        <w:t xml:space="preserve">with </w:t>
      </w:r>
      <w:r>
        <w:rPr>
          <w:rFonts w:ascii="Century Gothic" w:hAnsi="Century Gothic" w:cs="Calibri"/>
          <w:lang w:eastAsia="en-AU" w:bidi="he-IL"/>
        </w:rPr>
        <w:t xml:space="preserve">other Church ministry areas  </w:t>
      </w:r>
      <w:r w:rsidR="00006966">
        <w:rPr>
          <w:rFonts w:ascii="Century Gothic" w:hAnsi="Century Gothic" w:cs="Calibri"/>
          <w:lang w:eastAsia="en-AU" w:bidi="he-IL"/>
        </w:rPr>
        <w:t xml:space="preserve">  </w:t>
      </w:r>
    </w:p>
    <w:p w14:paraId="1B7FB8ED" w14:textId="77777777" w:rsidR="004037FB" w:rsidRPr="008D62A5" w:rsidRDefault="008D62A5" w:rsidP="008D62A5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/>
        </w:rPr>
        <w:t>coordinates and provides support in the</w:t>
      </w:r>
      <w:r w:rsidR="00BC63BC">
        <w:rPr>
          <w:rFonts w:ascii="Century Gothic" w:hAnsi="Century Gothic"/>
        </w:rPr>
        <w:t xml:space="preserve"> development and</w:t>
      </w:r>
      <w:r>
        <w:rPr>
          <w:rFonts w:ascii="Century Gothic" w:hAnsi="Century Gothic"/>
        </w:rPr>
        <w:t xml:space="preserve"> implementation of the quality assurance process</w:t>
      </w:r>
      <w:r w:rsidR="003317FD" w:rsidRPr="009C6B85">
        <w:rPr>
          <w:rFonts w:ascii="Century Gothic" w:hAnsi="Century Gothic"/>
        </w:rPr>
        <w:t>.</w:t>
      </w:r>
    </w:p>
    <w:p w14:paraId="1B7FB8EE" w14:textId="77777777" w:rsidR="0087663B" w:rsidRPr="009C6B85" w:rsidRDefault="0087663B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EF" w14:textId="77777777" w:rsidR="0087663B" w:rsidRPr="009C6B85" w:rsidRDefault="0087663B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  <w:r w:rsidRPr="009C6B85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 xml:space="preserve">Primary </w:t>
      </w:r>
      <w:r w:rsidR="004D0C51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relationships</w:t>
      </w:r>
    </w:p>
    <w:p w14:paraId="1B7FB8F0" w14:textId="77777777" w:rsidR="0087663B" w:rsidRPr="009C6B85" w:rsidRDefault="00D077FA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This position:</w:t>
      </w:r>
    </w:p>
    <w:p w14:paraId="1B7FB8F1" w14:textId="77777777" w:rsidR="0087663B" w:rsidRPr="009C6B85" w:rsidRDefault="00107B0A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reports</w:t>
      </w:r>
      <w:r w:rsidR="0087663B" w:rsidRPr="009C6B85">
        <w:rPr>
          <w:rFonts w:ascii="Century Gothic" w:hAnsi="Century Gothic" w:cs="Calibri"/>
          <w:lang w:eastAsia="en-AU" w:bidi="he-IL"/>
        </w:rPr>
        <w:t xml:space="preserve"> to the Executive Officer of the Chur</w:t>
      </w:r>
      <w:r>
        <w:rPr>
          <w:rFonts w:ascii="Century Gothic" w:hAnsi="Century Gothic" w:cs="Calibri"/>
          <w:lang w:eastAsia="en-AU" w:bidi="he-IL"/>
        </w:rPr>
        <w:t>ch in res</w:t>
      </w:r>
      <w:r w:rsidR="008D62A5">
        <w:rPr>
          <w:rFonts w:ascii="Century Gothic" w:hAnsi="Century Gothic" w:cs="Calibri"/>
          <w:lang w:eastAsia="en-AU" w:bidi="he-IL"/>
        </w:rPr>
        <w:t>pect to the delivery of agreed work plans, and in the addressing of</w:t>
      </w:r>
      <w:r w:rsidR="00C5158F" w:rsidRPr="009C6B85">
        <w:rPr>
          <w:rFonts w:ascii="Century Gothic" w:hAnsi="Century Gothic" w:cs="Calibri"/>
          <w:lang w:eastAsia="en-AU" w:bidi="he-IL"/>
        </w:rPr>
        <w:t xml:space="preserve"> operational</w:t>
      </w:r>
      <w:r w:rsidR="0087663B" w:rsidRPr="009C6B85">
        <w:rPr>
          <w:rFonts w:ascii="Century Gothic" w:hAnsi="Century Gothic" w:cs="Calibri"/>
          <w:lang w:eastAsia="en-AU" w:bidi="he-IL"/>
        </w:rPr>
        <w:t xml:space="preserve"> issues and developments</w:t>
      </w:r>
    </w:p>
    <w:p w14:paraId="1B7FB8F2" w14:textId="77777777" w:rsidR="0087663B" w:rsidRPr="009C6B85" w:rsidRDefault="008D62A5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works with the Governance Enhancement Committee</w:t>
      </w:r>
      <w:r w:rsidR="00107B0A">
        <w:rPr>
          <w:rFonts w:ascii="Century Gothic" w:hAnsi="Century Gothic" w:cs="Calibri"/>
          <w:lang w:eastAsia="en-AU" w:bidi="he-IL"/>
        </w:rPr>
        <w:t xml:space="preserve"> in</w:t>
      </w:r>
      <w:r>
        <w:rPr>
          <w:rFonts w:ascii="Century Gothic" w:hAnsi="Century Gothic" w:cs="Calibri"/>
          <w:lang w:eastAsia="en-AU" w:bidi="he-IL"/>
        </w:rPr>
        <w:t xml:space="preserve"> the progressing of the</w:t>
      </w:r>
      <w:r w:rsidR="004D0C51">
        <w:rPr>
          <w:rFonts w:ascii="Century Gothic" w:hAnsi="Century Gothic" w:cs="Calibri"/>
          <w:lang w:eastAsia="en-AU" w:bidi="he-IL"/>
        </w:rPr>
        <w:t xml:space="preserve"> GCC-approved Governance Enhancement Implementation Plan</w:t>
      </w:r>
      <w:r>
        <w:rPr>
          <w:rFonts w:ascii="Century Gothic" w:hAnsi="Century Gothic" w:cs="Calibri"/>
          <w:lang w:eastAsia="en-AU" w:bidi="he-IL"/>
        </w:rPr>
        <w:t xml:space="preserve"> </w:t>
      </w:r>
    </w:p>
    <w:p w14:paraId="1B7FB8F3" w14:textId="77777777" w:rsidR="0087663B" w:rsidRDefault="00D077FA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w</w:t>
      </w:r>
      <w:r w:rsidR="004D0C51">
        <w:rPr>
          <w:rFonts w:ascii="Century Gothic" w:hAnsi="Century Gothic" w:cs="Calibri"/>
          <w:lang w:eastAsia="en-AU" w:bidi="he-IL"/>
        </w:rPr>
        <w:t>orks close</w:t>
      </w:r>
      <w:r w:rsidR="0087663B" w:rsidRPr="009C6B85">
        <w:rPr>
          <w:rFonts w:ascii="Century Gothic" w:hAnsi="Century Gothic" w:cs="Calibri"/>
          <w:lang w:eastAsia="en-AU" w:bidi="he-IL"/>
        </w:rPr>
        <w:t xml:space="preserve">ly with </w:t>
      </w:r>
      <w:r w:rsidR="004D0C51">
        <w:rPr>
          <w:rFonts w:ascii="Century Gothic" w:hAnsi="Century Gothic" w:cs="Calibri"/>
          <w:lang w:eastAsia="en-AU" w:bidi="he-IL"/>
        </w:rPr>
        <w:t>the Lutheran Aged Care and Community Service organisations, the LCA’s Committee for Ministry with the Ageing and other relevant ministry arms of the Church</w:t>
      </w:r>
    </w:p>
    <w:p w14:paraId="1B7FB8F4" w14:textId="77777777" w:rsidR="00721843" w:rsidRPr="009C6B85" w:rsidRDefault="00721843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Liaises with the Church’s representatives to the National Aged Care Alliance</w:t>
      </w:r>
    </w:p>
    <w:p w14:paraId="1B7FB8F5" w14:textId="77777777" w:rsidR="0087663B" w:rsidRDefault="0087663B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F6" w14:textId="77777777" w:rsidR="00721843" w:rsidRDefault="00721843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F7" w14:textId="77777777" w:rsidR="00721843" w:rsidRDefault="00721843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F8" w14:textId="77777777" w:rsidR="00721843" w:rsidRPr="009C6B85" w:rsidRDefault="00721843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F9" w14:textId="77777777" w:rsidR="0087663B" w:rsidRPr="009C6B85" w:rsidRDefault="004D0C51" w:rsidP="0087663B">
      <w:pPr>
        <w:spacing w:after="0" w:line="240" w:lineRule="auto"/>
        <w:rPr>
          <w:rFonts w:ascii="Century Gothic" w:hAnsi="Century Gothic" w:cs="Calibri"/>
          <w:sz w:val="24"/>
          <w:lang w:eastAsia="en-AU" w:bidi="he-IL"/>
        </w:rPr>
      </w:pPr>
      <w:r>
        <w:rPr>
          <w:rFonts w:ascii="Century Gothic" w:hAnsi="Century Gothic" w:cs="Calibri"/>
          <w:sz w:val="30"/>
          <w:szCs w:val="28"/>
          <w:lang w:eastAsia="en-AU" w:bidi="he-IL"/>
        </w:rPr>
        <w:t>Key Responsibilities</w:t>
      </w:r>
    </w:p>
    <w:p w14:paraId="1B7FB8FA" w14:textId="77777777" w:rsidR="0087663B" w:rsidRPr="004C2D6E" w:rsidRDefault="0087663B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FB" w14:textId="77777777" w:rsidR="0084714F" w:rsidRPr="004C2D6E" w:rsidRDefault="004D0C51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The main</w:t>
      </w:r>
      <w:r w:rsidR="0087663B" w:rsidRPr="004C2D6E">
        <w:rPr>
          <w:rFonts w:ascii="Century Gothic" w:hAnsi="Century Gothic" w:cs="Calibri"/>
          <w:lang w:eastAsia="en-AU" w:bidi="he-IL"/>
        </w:rPr>
        <w:t xml:space="preserve"> respo</w:t>
      </w:r>
      <w:r w:rsidR="00395D60">
        <w:rPr>
          <w:rFonts w:ascii="Century Gothic" w:hAnsi="Century Gothic" w:cs="Calibri"/>
          <w:lang w:eastAsia="en-AU" w:bidi="he-IL"/>
        </w:rPr>
        <w:t>nsibility of the position is</w:t>
      </w:r>
      <w:r w:rsidR="00D077FA">
        <w:rPr>
          <w:rFonts w:ascii="Century Gothic" w:hAnsi="Century Gothic" w:cs="Calibri"/>
          <w:lang w:eastAsia="en-AU" w:bidi="he-IL"/>
        </w:rPr>
        <w:t xml:space="preserve"> to</w:t>
      </w:r>
      <w:r w:rsidR="00395D60">
        <w:rPr>
          <w:rFonts w:ascii="Century Gothic" w:hAnsi="Century Gothic" w:cs="Calibri"/>
          <w:lang w:eastAsia="en-AU" w:bidi="he-IL"/>
        </w:rPr>
        <w:t xml:space="preserve"> support the initial phase of the Governance Enhancement Implementation Plan. The specific responsibilities of this role under the Plan will include</w:t>
      </w:r>
      <w:r w:rsidR="00D077FA">
        <w:rPr>
          <w:rFonts w:ascii="Century Gothic" w:hAnsi="Century Gothic" w:cs="Calibri"/>
          <w:lang w:eastAsia="en-AU" w:bidi="he-IL"/>
        </w:rPr>
        <w:t>:</w:t>
      </w:r>
    </w:p>
    <w:p w14:paraId="1B7FB8FC" w14:textId="77777777" w:rsidR="00721843" w:rsidRDefault="00721843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support</w:t>
      </w:r>
      <w:r w:rsidR="009C5CF6">
        <w:rPr>
          <w:rFonts w:ascii="Century Gothic" w:hAnsi="Century Gothic" w:cs="Calibri"/>
          <w:lang w:eastAsia="en-AU" w:bidi="he-IL"/>
        </w:rPr>
        <w:t>ing</w:t>
      </w:r>
      <w:r>
        <w:rPr>
          <w:rFonts w:ascii="Century Gothic" w:hAnsi="Century Gothic" w:cs="Calibri"/>
          <w:lang w:eastAsia="en-AU" w:bidi="he-IL"/>
        </w:rPr>
        <w:t xml:space="preserve"> the development and dissemination of the governance-related policies</w:t>
      </w:r>
      <w:r w:rsidR="005B71E6">
        <w:rPr>
          <w:rFonts w:ascii="Century Gothic" w:hAnsi="Century Gothic" w:cs="Calibri"/>
          <w:lang w:eastAsia="en-AU" w:bidi="he-IL"/>
        </w:rPr>
        <w:t xml:space="preserve"> </w:t>
      </w:r>
      <w:r w:rsidR="005B71E6" w:rsidRPr="006D410C">
        <w:rPr>
          <w:rFonts w:ascii="Century Gothic" w:hAnsi="Century Gothic" w:cs="Calibri"/>
          <w:lang w:eastAsia="en-AU" w:bidi="he-IL"/>
        </w:rPr>
        <w:t>and other documents</w:t>
      </w:r>
      <w:r>
        <w:rPr>
          <w:rFonts w:ascii="Century Gothic" w:hAnsi="Century Gothic" w:cs="Calibri"/>
          <w:lang w:eastAsia="en-AU" w:bidi="he-IL"/>
        </w:rPr>
        <w:t xml:space="preserve"> identified by the governance dialogue process  </w:t>
      </w:r>
    </w:p>
    <w:p w14:paraId="1B7FB8FD" w14:textId="77777777" w:rsidR="0084714F" w:rsidRPr="0084714F" w:rsidRDefault="00721843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access</w:t>
      </w:r>
      <w:r w:rsidR="00395D60">
        <w:rPr>
          <w:rFonts w:ascii="Century Gothic" w:hAnsi="Century Gothic" w:cs="Calibri"/>
          <w:lang w:eastAsia="en-AU" w:bidi="he-IL"/>
        </w:rPr>
        <w:t>ing</w:t>
      </w:r>
      <w:r>
        <w:rPr>
          <w:rFonts w:ascii="Century Gothic" w:hAnsi="Century Gothic" w:cs="Calibri"/>
          <w:lang w:eastAsia="en-AU" w:bidi="he-IL"/>
        </w:rPr>
        <w:t xml:space="preserve"> up-to-date information and policies about governance</w:t>
      </w:r>
      <w:r w:rsidR="00610BBF">
        <w:rPr>
          <w:rFonts w:ascii="Century Gothic" w:hAnsi="Century Gothic" w:cs="Calibri"/>
          <w:lang w:eastAsia="en-AU" w:bidi="he-IL"/>
        </w:rPr>
        <w:t xml:space="preserve"> for sharing among the organisations</w:t>
      </w:r>
      <w:r w:rsidR="00C5158F" w:rsidRPr="004C2D6E">
        <w:rPr>
          <w:rFonts w:ascii="Century Gothic" w:hAnsi="Century Gothic" w:cs="Calibri"/>
          <w:lang w:eastAsia="en-AU" w:bidi="he-IL"/>
        </w:rPr>
        <w:t xml:space="preserve"> </w:t>
      </w:r>
      <w:r w:rsidR="0087663B" w:rsidRPr="004C2D6E">
        <w:rPr>
          <w:rFonts w:ascii="Century Gothic" w:hAnsi="Century Gothic" w:cs="Calibri"/>
          <w:lang w:eastAsia="en-AU" w:bidi="he-IL"/>
        </w:rPr>
        <w:t xml:space="preserve">  </w:t>
      </w:r>
    </w:p>
    <w:p w14:paraId="1B7FB8FE" w14:textId="77777777" w:rsidR="00E7635C" w:rsidRPr="004C2D6E" w:rsidRDefault="00721843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identify</w:t>
      </w:r>
      <w:r w:rsidR="00395D60">
        <w:rPr>
          <w:rFonts w:ascii="Century Gothic" w:hAnsi="Century Gothic" w:cs="Calibri"/>
          <w:lang w:eastAsia="en-AU" w:bidi="he-IL"/>
        </w:rPr>
        <w:t>ing</w:t>
      </w:r>
      <w:r>
        <w:rPr>
          <w:rFonts w:ascii="Century Gothic" w:hAnsi="Century Gothic" w:cs="Calibri"/>
          <w:lang w:eastAsia="en-AU" w:bidi="he-IL"/>
        </w:rPr>
        <w:t xml:space="preserve"> </w:t>
      </w:r>
      <w:r w:rsidR="00395D60">
        <w:rPr>
          <w:rFonts w:ascii="Century Gothic" w:hAnsi="Century Gothic" w:cs="Calibri"/>
          <w:lang w:eastAsia="en-AU" w:bidi="he-IL"/>
        </w:rPr>
        <w:t>and circulating</w:t>
      </w:r>
      <w:r w:rsidR="00E7635C" w:rsidRPr="004C2D6E">
        <w:rPr>
          <w:rFonts w:ascii="Century Gothic" w:hAnsi="Century Gothic" w:cs="Calibri"/>
          <w:lang w:eastAsia="en-AU" w:bidi="he-IL"/>
        </w:rPr>
        <w:t xml:space="preserve"> </w:t>
      </w:r>
      <w:r>
        <w:rPr>
          <w:rFonts w:ascii="Century Gothic" w:hAnsi="Century Gothic" w:cs="Calibri"/>
          <w:lang w:eastAsia="en-AU" w:bidi="he-IL"/>
        </w:rPr>
        <w:t>key national policy and funding developments in aged care, disability and community services among the Lutheran aged care and community service organisations</w:t>
      </w:r>
      <w:r w:rsidR="000C1E38">
        <w:rPr>
          <w:rFonts w:ascii="Century Gothic" w:hAnsi="Century Gothic" w:cs="Calibri"/>
          <w:lang w:eastAsia="en-AU" w:bidi="he-IL"/>
        </w:rPr>
        <w:t>. This will include regular liaison with the LCA’s representatives on the National Aged Care Alliance</w:t>
      </w:r>
    </w:p>
    <w:p w14:paraId="1B7FB8FF" w14:textId="77777777" w:rsidR="0087663B" w:rsidRPr="004C2D6E" w:rsidRDefault="00721843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c</w:t>
      </w:r>
      <w:r w:rsidR="00395D60">
        <w:rPr>
          <w:rFonts w:ascii="Century Gothic" w:hAnsi="Century Gothic" w:cs="Calibri"/>
          <w:lang w:eastAsia="en-AU" w:bidi="he-IL"/>
        </w:rPr>
        <w:t>oordinating</w:t>
      </w:r>
      <w:r>
        <w:rPr>
          <w:rFonts w:ascii="Century Gothic" w:hAnsi="Century Gothic" w:cs="Calibri"/>
          <w:lang w:eastAsia="en-AU" w:bidi="he-IL"/>
        </w:rPr>
        <w:t xml:space="preserve"> </w:t>
      </w:r>
      <w:r w:rsidR="005B71E6" w:rsidRPr="006D410C">
        <w:rPr>
          <w:rFonts w:ascii="Century Gothic" w:hAnsi="Century Gothic" w:cs="Calibri"/>
          <w:lang w:eastAsia="en-AU" w:bidi="he-IL"/>
        </w:rPr>
        <w:t>agreed</w:t>
      </w:r>
      <w:r w:rsidR="005B71E6">
        <w:rPr>
          <w:rFonts w:ascii="Century Gothic" w:hAnsi="Century Gothic" w:cs="Calibri"/>
          <w:lang w:eastAsia="en-AU" w:bidi="he-IL"/>
        </w:rPr>
        <w:t xml:space="preserve"> </w:t>
      </w:r>
      <w:r>
        <w:rPr>
          <w:rFonts w:ascii="Century Gothic" w:hAnsi="Century Gothic" w:cs="Calibri"/>
          <w:lang w:eastAsia="en-AU" w:bidi="he-IL"/>
        </w:rPr>
        <w:t>governance and management training opportunities, especially for small and/or remote services</w:t>
      </w:r>
    </w:p>
    <w:p w14:paraId="1B7FB900" w14:textId="77777777" w:rsidR="00137A22" w:rsidRDefault="00137A22" w:rsidP="00606490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foster</w:t>
      </w:r>
      <w:r w:rsidR="00395D60">
        <w:rPr>
          <w:rFonts w:ascii="Century Gothic" w:hAnsi="Century Gothic" w:cs="Calibri"/>
          <w:lang w:eastAsia="en-AU" w:bidi="he-IL"/>
        </w:rPr>
        <w:t>ing</w:t>
      </w:r>
      <w:r>
        <w:rPr>
          <w:rFonts w:ascii="Century Gothic" w:hAnsi="Century Gothic" w:cs="Calibri"/>
          <w:lang w:eastAsia="en-AU" w:bidi="he-IL"/>
        </w:rPr>
        <w:t xml:space="preserve"> collaboratio</w:t>
      </w:r>
      <w:r w:rsidR="00721843">
        <w:rPr>
          <w:rFonts w:ascii="Century Gothic" w:hAnsi="Century Gothic" w:cs="Calibri"/>
          <w:lang w:eastAsia="en-AU" w:bidi="he-IL"/>
        </w:rPr>
        <w:t xml:space="preserve">n and networking between the organisations, including providing assistance in the organisation of at least one annual meeting of the organisations to discuss matters of importance to the sector </w:t>
      </w:r>
      <w:r w:rsidRPr="00710678">
        <w:rPr>
          <w:rFonts w:ascii="Century Gothic" w:hAnsi="Century Gothic" w:cs="Calibri"/>
          <w:lang w:eastAsia="en-AU" w:bidi="he-IL"/>
        </w:rPr>
        <w:t xml:space="preserve"> </w:t>
      </w:r>
    </w:p>
    <w:p w14:paraId="1B7FB901" w14:textId="77777777" w:rsidR="000C1E38" w:rsidRPr="00710678" w:rsidRDefault="00395D60" w:rsidP="00606490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facilitating</w:t>
      </w:r>
      <w:r w:rsidR="000C1E38">
        <w:rPr>
          <w:rFonts w:ascii="Century Gothic" w:hAnsi="Century Gothic" w:cs="Calibri"/>
          <w:lang w:eastAsia="en-AU" w:bidi="he-IL"/>
        </w:rPr>
        <w:t xml:space="preserve"> cooperation between the organisations and the LCA’s Committee for Ministry with the Ageing, and other relevant ministry arms of the Church, to</w:t>
      </w:r>
      <w:r>
        <w:rPr>
          <w:rFonts w:ascii="Century Gothic" w:hAnsi="Century Gothic" w:cs="Calibri"/>
          <w:lang w:eastAsia="en-AU" w:bidi="he-IL"/>
        </w:rPr>
        <w:t xml:space="preserve"> embed a common Lutheran theological ethos and to</w:t>
      </w:r>
      <w:r w:rsidR="000C1E38">
        <w:rPr>
          <w:rFonts w:ascii="Century Gothic" w:hAnsi="Century Gothic" w:cs="Calibri"/>
          <w:lang w:eastAsia="en-AU" w:bidi="he-IL"/>
        </w:rPr>
        <w:t xml:space="preserve"> enhance  mission and ministry in the local context </w:t>
      </w:r>
    </w:p>
    <w:p w14:paraId="1B7FB902" w14:textId="77777777" w:rsidR="0087663B" w:rsidRPr="00710678" w:rsidRDefault="00395D60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d</w:t>
      </w:r>
      <w:r w:rsidR="00610BBF">
        <w:rPr>
          <w:rFonts w:ascii="Century Gothic" w:hAnsi="Century Gothic" w:cs="Calibri"/>
          <w:lang w:eastAsia="en-AU" w:bidi="he-IL"/>
        </w:rPr>
        <w:t>eve</w:t>
      </w:r>
      <w:r w:rsidR="000C1E38">
        <w:rPr>
          <w:rFonts w:ascii="Century Gothic" w:hAnsi="Century Gothic" w:cs="Calibri"/>
          <w:lang w:eastAsia="en-AU" w:bidi="he-IL"/>
        </w:rPr>
        <w:t>lop</w:t>
      </w:r>
      <w:r>
        <w:rPr>
          <w:rFonts w:ascii="Century Gothic" w:hAnsi="Century Gothic" w:cs="Calibri"/>
          <w:lang w:eastAsia="en-AU" w:bidi="he-IL"/>
        </w:rPr>
        <w:t>ing</w:t>
      </w:r>
      <w:r w:rsidR="000C1E38">
        <w:rPr>
          <w:rFonts w:ascii="Century Gothic" w:hAnsi="Century Gothic" w:cs="Calibri"/>
          <w:lang w:eastAsia="en-AU" w:bidi="he-IL"/>
        </w:rPr>
        <w:t xml:space="preserve"> with the LCA Communications Department a web-site that serves as a key mechanism for the sharing of information and resources, and ensures the web-site contains material that is current and relevant to the sector  </w:t>
      </w:r>
    </w:p>
    <w:p w14:paraId="1B7FB903" w14:textId="77777777" w:rsidR="007C45B9" w:rsidRPr="004C2D6E" w:rsidRDefault="00395D60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working with the organisations to develop an ann</w:t>
      </w:r>
      <w:r w:rsidR="007A7E53">
        <w:rPr>
          <w:rFonts w:ascii="Century Gothic" w:hAnsi="Century Gothic" w:cs="Calibri"/>
          <w:lang w:eastAsia="en-AU" w:bidi="he-IL"/>
        </w:rPr>
        <w:t>ual governance assurance system, including an implementation schedule, supported by a quality services agreement signed by all participating organisations</w:t>
      </w:r>
      <w:r>
        <w:rPr>
          <w:rFonts w:ascii="Century Gothic" w:hAnsi="Century Gothic" w:cs="Calibri"/>
          <w:lang w:eastAsia="en-AU" w:bidi="he-IL"/>
        </w:rPr>
        <w:t xml:space="preserve">  </w:t>
      </w:r>
    </w:p>
    <w:p w14:paraId="1B7FB904" w14:textId="77777777" w:rsidR="0087663B" w:rsidRPr="007A7E53" w:rsidRDefault="007A7E53" w:rsidP="007A7E53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working with the organisations to develop and reach agreement on an emergency intervention protocol, with associated policies and procedures</w:t>
      </w:r>
    </w:p>
    <w:p w14:paraId="1B7FB905" w14:textId="77777777" w:rsidR="0087663B" w:rsidRPr="004C2D6E" w:rsidRDefault="007A7E53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monitor</w:t>
      </w:r>
      <w:r w:rsidR="009C5CF6">
        <w:rPr>
          <w:rFonts w:ascii="Century Gothic" w:hAnsi="Century Gothic" w:cs="Calibri"/>
          <w:lang w:eastAsia="en-AU" w:bidi="he-IL"/>
        </w:rPr>
        <w:t>ing</w:t>
      </w:r>
      <w:r>
        <w:rPr>
          <w:rFonts w:ascii="Century Gothic" w:hAnsi="Century Gothic" w:cs="Calibri"/>
          <w:lang w:eastAsia="en-AU" w:bidi="he-IL"/>
        </w:rPr>
        <w:t xml:space="preserve"> the approved governance enhancement</w:t>
      </w:r>
      <w:r w:rsidR="00230520">
        <w:rPr>
          <w:rFonts w:ascii="Century Gothic" w:hAnsi="Century Gothic" w:cs="Calibri"/>
          <w:lang w:eastAsia="en-AU" w:bidi="he-IL"/>
        </w:rPr>
        <w:t xml:space="preserve"> budget and provide periodic financial reports to the Executive Officer of the Church</w:t>
      </w:r>
    </w:p>
    <w:p w14:paraId="1B7FB906" w14:textId="77777777" w:rsidR="0087663B" w:rsidRPr="004C2D6E" w:rsidRDefault="009C5CF6" w:rsidP="0084714F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organising</w:t>
      </w:r>
      <w:r w:rsidR="007A7E53">
        <w:rPr>
          <w:rFonts w:ascii="Century Gothic" w:hAnsi="Century Gothic" w:cs="Calibri"/>
          <w:lang w:eastAsia="en-AU" w:bidi="he-IL"/>
        </w:rPr>
        <w:t xml:space="preserve">, </w:t>
      </w:r>
      <w:r w:rsidR="00487C4E">
        <w:rPr>
          <w:rFonts w:ascii="Century Gothic" w:hAnsi="Century Gothic" w:cs="Calibri"/>
          <w:lang w:eastAsia="en-AU" w:bidi="he-IL"/>
        </w:rPr>
        <w:t>prepare for and contribu</w:t>
      </w:r>
      <w:r w:rsidR="007A7E53">
        <w:rPr>
          <w:rFonts w:ascii="Century Gothic" w:hAnsi="Century Gothic" w:cs="Calibri"/>
          <w:lang w:eastAsia="en-AU" w:bidi="he-IL"/>
        </w:rPr>
        <w:t xml:space="preserve">te to meetings of the Governance Enhancement Committee </w:t>
      </w:r>
    </w:p>
    <w:p w14:paraId="1B7FB907" w14:textId="77777777" w:rsidR="0087663B" w:rsidRDefault="009C5CF6" w:rsidP="00487C4E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undertaking</w:t>
      </w:r>
      <w:r w:rsidR="00487C4E">
        <w:rPr>
          <w:rFonts w:ascii="Century Gothic" w:hAnsi="Century Gothic" w:cs="Calibri"/>
          <w:lang w:eastAsia="en-AU" w:bidi="he-IL"/>
        </w:rPr>
        <w:t xml:space="preserve"> other tasks as may be assigned by the Executive Officer of the C</w:t>
      </w:r>
      <w:r w:rsidR="007A7E53">
        <w:rPr>
          <w:rFonts w:ascii="Century Gothic" w:hAnsi="Century Gothic" w:cs="Calibri"/>
          <w:lang w:eastAsia="en-AU" w:bidi="he-IL"/>
        </w:rPr>
        <w:t>hurch in support of the implementation of the agreed plan.</w:t>
      </w:r>
    </w:p>
    <w:p w14:paraId="1B7FB908" w14:textId="77777777" w:rsidR="0087663B" w:rsidRPr="004C2D6E" w:rsidRDefault="0087663B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909" w14:textId="77777777" w:rsidR="005B71E6" w:rsidRPr="006D410C" w:rsidRDefault="005B71E6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  <w:r w:rsidRPr="006D410C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Key Competencies</w:t>
      </w:r>
    </w:p>
    <w:p w14:paraId="1B7FB90A" w14:textId="77777777" w:rsidR="005B71E6" w:rsidRPr="006D410C" w:rsidRDefault="005B71E6" w:rsidP="005B71E6">
      <w:p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>Relevant to a national network of Lutheran Aged and Community Services:</w:t>
      </w:r>
    </w:p>
    <w:p w14:paraId="1B7FB90B" w14:textId="77777777" w:rsidR="005B71E6" w:rsidRPr="006D410C" w:rsidRDefault="005B71E6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 xml:space="preserve">Proven </w:t>
      </w:r>
      <w:r w:rsidR="00FF0426" w:rsidRPr="006D410C">
        <w:rPr>
          <w:rFonts w:ascii="Century Gothic" w:hAnsi="Century Gothic" w:cs="Calibri"/>
          <w:lang w:eastAsia="en-AU" w:bidi="he-IL"/>
        </w:rPr>
        <w:t xml:space="preserve">collaboration, </w:t>
      </w:r>
      <w:r w:rsidRPr="006D410C">
        <w:rPr>
          <w:rFonts w:ascii="Century Gothic" w:hAnsi="Century Gothic" w:cs="Calibri"/>
          <w:lang w:eastAsia="en-AU" w:bidi="he-IL"/>
        </w:rPr>
        <w:t xml:space="preserve">facilitation, negotiation and </w:t>
      </w:r>
      <w:r w:rsidR="00C95E77" w:rsidRPr="006D410C">
        <w:rPr>
          <w:rFonts w:ascii="Century Gothic" w:hAnsi="Century Gothic" w:cs="Calibri"/>
          <w:lang w:eastAsia="en-AU" w:bidi="he-IL"/>
        </w:rPr>
        <w:t xml:space="preserve">customer </w:t>
      </w:r>
      <w:r w:rsidRPr="006D410C">
        <w:rPr>
          <w:rFonts w:ascii="Century Gothic" w:hAnsi="Century Gothic" w:cs="Calibri"/>
          <w:lang w:eastAsia="en-AU" w:bidi="he-IL"/>
        </w:rPr>
        <w:t>support skills</w:t>
      </w:r>
    </w:p>
    <w:p w14:paraId="1B7FB90C" w14:textId="77777777" w:rsidR="0078702B" w:rsidRPr="006D410C" w:rsidRDefault="0078702B" w:rsidP="0078702B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>Excellent interpersonal and written communication skills</w:t>
      </w:r>
    </w:p>
    <w:p w14:paraId="1B7FB90D" w14:textId="77777777" w:rsidR="0078702B" w:rsidRPr="006D410C" w:rsidRDefault="0078702B" w:rsidP="0078702B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>Experience in drafting reader-friendly ‘plain English’ policy documents</w:t>
      </w:r>
    </w:p>
    <w:p w14:paraId="1B7FB90E" w14:textId="77777777" w:rsidR="00C95E77" w:rsidRPr="006D410C" w:rsidRDefault="00C95E77" w:rsidP="00C95E7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lastRenderedPageBreak/>
        <w:t xml:space="preserve">Demonstrated ability to co-ordinate </w:t>
      </w:r>
      <w:r w:rsidR="00FF0426" w:rsidRPr="006D410C">
        <w:rPr>
          <w:rFonts w:ascii="Century Gothic" w:hAnsi="Century Gothic" w:cs="Calibri"/>
          <w:lang w:eastAsia="en-AU" w:bidi="he-IL"/>
        </w:rPr>
        <w:t xml:space="preserve">national meetings, </w:t>
      </w:r>
      <w:r w:rsidRPr="006D410C">
        <w:rPr>
          <w:rFonts w:ascii="Century Gothic" w:hAnsi="Century Gothic" w:cs="Calibri"/>
          <w:lang w:eastAsia="en-AU" w:bidi="he-IL"/>
        </w:rPr>
        <w:t xml:space="preserve">national </w:t>
      </w:r>
      <w:r w:rsidR="00FF0426" w:rsidRPr="006D410C">
        <w:rPr>
          <w:rFonts w:ascii="Century Gothic" w:hAnsi="Century Gothic" w:cs="Calibri"/>
          <w:lang w:eastAsia="en-AU" w:bidi="he-IL"/>
        </w:rPr>
        <w:t>professional development activities</w:t>
      </w:r>
      <w:r w:rsidRPr="006D410C">
        <w:rPr>
          <w:rFonts w:ascii="Century Gothic" w:hAnsi="Century Gothic" w:cs="Calibri"/>
          <w:lang w:eastAsia="en-AU" w:bidi="he-IL"/>
        </w:rPr>
        <w:t xml:space="preserve"> and a peer-based national quality assurance process  </w:t>
      </w:r>
    </w:p>
    <w:p w14:paraId="1B7FB90F" w14:textId="77777777" w:rsidR="0078702B" w:rsidRPr="006D410C" w:rsidRDefault="0078702B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 xml:space="preserve">A good understanding of ‘governance’ and of ‘quality assurance’ </w:t>
      </w:r>
    </w:p>
    <w:p w14:paraId="1B7FB910" w14:textId="77777777" w:rsidR="005B71E6" w:rsidRPr="006D410C" w:rsidRDefault="00C95E77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>A</w:t>
      </w:r>
      <w:r w:rsidR="005B71E6" w:rsidRPr="006D410C">
        <w:rPr>
          <w:rFonts w:ascii="Century Gothic" w:hAnsi="Century Gothic" w:cs="Calibri"/>
          <w:lang w:eastAsia="en-AU" w:bidi="he-IL"/>
        </w:rPr>
        <w:t>b</w:t>
      </w:r>
      <w:r w:rsidRPr="006D410C">
        <w:rPr>
          <w:rFonts w:ascii="Century Gothic" w:hAnsi="Century Gothic" w:cs="Calibri"/>
          <w:lang w:eastAsia="en-AU" w:bidi="he-IL"/>
        </w:rPr>
        <w:t>ility</w:t>
      </w:r>
      <w:r w:rsidR="005B71E6" w:rsidRPr="006D410C">
        <w:rPr>
          <w:rFonts w:ascii="Century Gothic" w:hAnsi="Century Gothic" w:cs="Calibri"/>
          <w:lang w:eastAsia="en-AU" w:bidi="he-IL"/>
        </w:rPr>
        <w:t xml:space="preserve"> to manage the dual role of a national support officer who also has some responsibilities in assisting the national church in its oversight role</w:t>
      </w:r>
    </w:p>
    <w:p w14:paraId="18A642E4" w14:textId="43616C2F" w:rsidR="003B0A9E" w:rsidRPr="003B0A9E" w:rsidRDefault="00FF0426" w:rsidP="003B0A9E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 xml:space="preserve">Computer literacy </w:t>
      </w:r>
      <w:r w:rsidR="0078702B" w:rsidRPr="006D410C">
        <w:rPr>
          <w:rFonts w:ascii="Century Gothic" w:hAnsi="Century Gothic" w:cs="Calibri"/>
          <w:lang w:eastAsia="en-AU" w:bidi="he-IL"/>
        </w:rPr>
        <w:t>including</w:t>
      </w:r>
      <w:r w:rsidR="003B0A9E">
        <w:rPr>
          <w:rFonts w:ascii="Century Gothic" w:hAnsi="Century Gothic" w:cs="Calibri"/>
          <w:lang w:eastAsia="en-AU" w:bidi="he-IL"/>
        </w:rPr>
        <w:t xml:space="preserve"> internet based research and analysis skills</w:t>
      </w:r>
    </w:p>
    <w:p w14:paraId="1B7FB912" w14:textId="77777777" w:rsidR="00FF0426" w:rsidRPr="006D410C" w:rsidRDefault="007C5F40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>Ability to manage a small budget</w:t>
      </w:r>
      <w:r w:rsidR="0078702B" w:rsidRPr="006D410C">
        <w:rPr>
          <w:rFonts w:ascii="Century Gothic" w:hAnsi="Century Gothic" w:cs="Calibri"/>
          <w:lang w:eastAsia="en-AU" w:bidi="he-IL"/>
        </w:rPr>
        <w:t>.</w:t>
      </w:r>
    </w:p>
    <w:p w14:paraId="1B7FB913" w14:textId="77777777" w:rsidR="00C95E77" w:rsidRPr="006D410C" w:rsidRDefault="0078702B" w:rsidP="00C95E77">
      <w:p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>Desirable competencies:</w:t>
      </w:r>
      <w:r w:rsidR="00C95E77" w:rsidRPr="006D410C">
        <w:rPr>
          <w:rFonts w:ascii="Century Gothic" w:hAnsi="Century Gothic" w:cs="Calibri"/>
          <w:lang w:eastAsia="en-AU" w:bidi="he-IL"/>
        </w:rPr>
        <w:t xml:space="preserve"> </w:t>
      </w:r>
    </w:p>
    <w:p w14:paraId="1B7FB914" w14:textId="77777777" w:rsidR="007C5F40" w:rsidRPr="006D410C" w:rsidRDefault="007C5F40" w:rsidP="007C5F40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 xml:space="preserve">a good understanding of aged care and community services   </w:t>
      </w:r>
    </w:p>
    <w:p w14:paraId="1B7FB915" w14:textId="77777777" w:rsidR="00FF0426" w:rsidRDefault="00FF0426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>a good understanding of the operating context of small and/or isolated not-for-profit services</w:t>
      </w:r>
    </w:p>
    <w:p w14:paraId="52C901B2" w14:textId="22226FBE" w:rsidR="003B0A9E" w:rsidRPr="006D410C" w:rsidRDefault="003B0A9E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financial literacy</w:t>
      </w:r>
    </w:p>
    <w:p w14:paraId="1B7FB916" w14:textId="77777777" w:rsidR="005B71E6" w:rsidRDefault="005B71E6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</w:p>
    <w:p w14:paraId="1B7FB917" w14:textId="77777777" w:rsidR="0087663B" w:rsidRPr="00D077FA" w:rsidRDefault="0087663B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  <w:r w:rsidRPr="00D077FA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General terms of appointment</w:t>
      </w:r>
    </w:p>
    <w:p w14:paraId="1B7FB918" w14:textId="77777777" w:rsidR="007A7E53" w:rsidRDefault="0087663B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 xml:space="preserve">Be willing to work in an environment of the Lutheran Church of Australia </w:t>
      </w:r>
      <w:r w:rsidR="007A7E53">
        <w:rPr>
          <w:rFonts w:ascii="Century Gothic" w:hAnsi="Century Gothic" w:cs="Calibri"/>
          <w:lang w:eastAsia="en-AU" w:bidi="he-IL"/>
        </w:rPr>
        <w:t>and actively demonstrate</w:t>
      </w:r>
      <w:r w:rsidRPr="004C2D6E">
        <w:rPr>
          <w:rFonts w:ascii="Century Gothic" w:hAnsi="Century Gothic" w:cs="Calibri"/>
          <w:lang w:eastAsia="en-AU" w:bidi="he-IL"/>
        </w:rPr>
        <w:t xml:space="preserve"> understanding for the needs</w:t>
      </w:r>
      <w:r w:rsidR="007A7E53">
        <w:rPr>
          <w:rFonts w:ascii="Century Gothic" w:hAnsi="Century Gothic" w:cs="Calibri"/>
          <w:lang w:eastAsia="en-AU" w:bidi="he-IL"/>
        </w:rPr>
        <w:t xml:space="preserve"> of the Church and its Lutheran Aged Care and Community Service organisations</w:t>
      </w:r>
    </w:p>
    <w:p w14:paraId="1B7FB919" w14:textId="3A730417" w:rsidR="0087663B" w:rsidRPr="004C2D6E" w:rsidRDefault="00BC63BC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Agree to respect </w:t>
      </w:r>
      <w:r w:rsidR="00C95E77" w:rsidRPr="006D410C">
        <w:rPr>
          <w:rFonts w:ascii="Century Gothic" w:hAnsi="Century Gothic" w:cs="Calibri"/>
          <w:lang w:eastAsia="en-AU" w:bidi="he-IL"/>
        </w:rPr>
        <w:t>and act in accordance with</w:t>
      </w:r>
      <w:r w:rsidR="00C95E77">
        <w:rPr>
          <w:rFonts w:ascii="Century Gothic" w:hAnsi="Century Gothic" w:cs="Calibri"/>
          <w:lang w:eastAsia="en-AU" w:bidi="he-IL"/>
        </w:rPr>
        <w:t xml:space="preserve"> </w:t>
      </w:r>
      <w:r>
        <w:rPr>
          <w:rFonts w:ascii="Century Gothic" w:hAnsi="Century Gothic" w:cs="Calibri"/>
          <w:lang w:eastAsia="en-AU" w:bidi="he-IL"/>
        </w:rPr>
        <w:t>the guiding principles of subsidiarity, consensus-based deci</w:t>
      </w:r>
      <w:r w:rsidR="003B0A9E">
        <w:rPr>
          <w:rFonts w:ascii="Century Gothic" w:hAnsi="Century Gothic" w:cs="Calibri"/>
          <w:lang w:eastAsia="en-AU" w:bidi="he-IL"/>
        </w:rPr>
        <w:t xml:space="preserve">sion-making, and the LCA’s </w:t>
      </w:r>
      <w:r>
        <w:rPr>
          <w:rFonts w:ascii="Century Gothic" w:hAnsi="Century Gothic" w:cs="Calibri"/>
          <w:lang w:eastAsia="en-AU" w:bidi="he-IL"/>
        </w:rPr>
        <w:t>principles of dialogue</w:t>
      </w:r>
      <w:r w:rsidR="003B0A9E">
        <w:rPr>
          <w:rFonts w:ascii="Century Gothic" w:hAnsi="Century Gothic" w:cs="Calibri"/>
          <w:lang w:eastAsia="en-AU" w:bidi="he-IL"/>
        </w:rPr>
        <w:t>.</w:t>
      </w:r>
      <w:r>
        <w:rPr>
          <w:rFonts w:ascii="Century Gothic" w:hAnsi="Century Gothic" w:cs="Calibri"/>
          <w:lang w:eastAsia="en-AU" w:bidi="he-IL"/>
        </w:rPr>
        <w:t xml:space="preserve"> </w:t>
      </w:r>
      <w:r w:rsidR="0087663B" w:rsidRPr="004C2D6E">
        <w:rPr>
          <w:rFonts w:ascii="Century Gothic" w:hAnsi="Century Gothic" w:cs="Calibri"/>
          <w:lang w:eastAsia="en-AU" w:bidi="he-IL"/>
        </w:rPr>
        <w:t xml:space="preserve"> </w:t>
      </w:r>
    </w:p>
    <w:p w14:paraId="1B7FB91A" w14:textId="77777777" w:rsidR="0087663B" w:rsidRDefault="0087663B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Agree to abide by all policies of the LCA</w:t>
      </w:r>
    </w:p>
    <w:p w14:paraId="1B7FB91B" w14:textId="77777777" w:rsidR="008B7218" w:rsidRPr="00710678" w:rsidRDefault="008B7218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710678">
        <w:rPr>
          <w:rFonts w:ascii="Century Gothic" w:hAnsi="Century Gothic" w:cs="Calibri"/>
          <w:lang w:eastAsia="en-AU" w:bidi="he-IL"/>
        </w:rPr>
        <w:t>Demonstrate respect in all activities and relationships, as per the LCA Standards of Ethical Behaviour</w:t>
      </w:r>
    </w:p>
    <w:p w14:paraId="1B7FB91C" w14:textId="77777777" w:rsidR="0087663B" w:rsidRPr="004C2D6E" w:rsidRDefault="0087663B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Observe and comply with the LCA Work, Health &amp; Safety policies and procedures</w:t>
      </w:r>
    </w:p>
    <w:p w14:paraId="1B7FB91D" w14:textId="77777777" w:rsidR="00376C82" w:rsidRPr="004C2D6E" w:rsidRDefault="00FD0A29">
      <w:pPr>
        <w:rPr>
          <w:rFonts w:ascii="Century Gothic" w:hAnsi="Century Gothic"/>
        </w:rPr>
      </w:pPr>
    </w:p>
    <w:p w14:paraId="1B7FB91E" w14:textId="77777777" w:rsidR="00AB7D52" w:rsidRPr="004C2D6E" w:rsidRDefault="00AB7D52">
      <w:pPr>
        <w:rPr>
          <w:rFonts w:ascii="Century Gothic" w:hAnsi="Century Gothic"/>
        </w:rPr>
      </w:pPr>
    </w:p>
    <w:p w14:paraId="1B7FB91F" w14:textId="621C8828" w:rsidR="00AB7D52" w:rsidRPr="004C2D6E" w:rsidRDefault="00FD0A29" w:rsidP="00AB7D52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bookmarkStart w:id="0" w:name="_GoBack"/>
      <w:bookmarkEnd w:id="0"/>
      <w:r w:rsidR="003B0A9E">
        <w:rPr>
          <w:rFonts w:ascii="Century Gothic" w:hAnsi="Century Gothic"/>
        </w:rPr>
        <w:t xml:space="preserve"> August</w:t>
      </w:r>
      <w:r w:rsidR="00AB7D52" w:rsidRPr="004C2D6E">
        <w:rPr>
          <w:rFonts w:ascii="Century Gothic" w:hAnsi="Century Gothic"/>
        </w:rPr>
        <w:t xml:space="preserve"> 201</w:t>
      </w:r>
      <w:r w:rsidR="00BC63BC">
        <w:rPr>
          <w:rFonts w:ascii="Century Gothic" w:hAnsi="Century Gothic"/>
        </w:rPr>
        <w:t>8</w:t>
      </w:r>
    </w:p>
    <w:sectPr w:rsidR="00AB7D52" w:rsidRPr="004C2D6E" w:rsidSect="001173C6">
      <w:footerReference w:type="default" r:id="rId8"/>
      <w:pgSz w:w="11909" w:h="16834" w:code="9"/>
      <w:pgMar w:top="1134" w:right="1418" w:bottom="1134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FB924" w14:textId="77777777" w:rsidR="00F4293F" w:rsidRDefault="00F4293F" w:rsidP="0087663B">
      <w:pPr>
        <w:spacing w:after="0" w:line="240" w:lineRule="auto"/>
      </w:pPr>
      <w:r>
        <w:separator/>
      </w:r>
    </w:p>
  </w:endnote>
  <w:endnote w:type="continuationSeparator" w:id="0">
    <w:p w14:paraId="1B7FB925" w14:textId="77777777" w:rsidR="00F4293F" w:rsidRDefault="00F4293F" w:rsidP="008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FB926" w14:textId="3FEF7D64" w:rsidR="00400D18" w:rsidRPr="00BC63BC" w:rsidRDefault="00FD0A29" w:rsidP="0087663B">
    <w:pPr>
      <w:pStyle w:val="Footer"/>
      <w:pBdr>
        <w:top w:val="single" w:sz="18" w:space="1" w:color="999999"/>
      </w:pBdr>
      <w:tabs>
        <w:tab w:val="right" w:pos="9072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3 August</w:t>
    </w:r>
    <w:r w:rsidR="00BC63BC" w:rsidRPr="00BC63BC">
      <w:rPr>
        <w:rFonts w:ascii="Century Gothic" w:hAnsi="Century Gothic"/>
        <w:sz w:val="16"/>
        <w:szCs w:val="16"/>
      </w:rPr>
      <w:t xml:space="preserve"> 2018</w:t>
    </w:r>
    <w:r w:rsidR="0087663B" w:rsidRPr="00BC63BC">
      <w:rPr>
        <w:rFonts w:ascii="Century Gothic" w:hAnsi="Century Gothic"/>
        <w:sz w:val="16"/>
        <w:szCs w:val="16"/>
      </w:rPr>
      <w:tab/>
      <w:t>Lutheran Church of Australia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FB922" w14:textId="77777777" w:rsidR="00F4293F" w:rsidRDefault="00F4293F" w:rsidP="0087663B">
      <w:pPr>
        <w:spacing w:after="0" w:line="240" w:lineRule="auto"/>
      </w:pPr>
      <w:r>
        <w:separator/>
      </w:r>
    </w:p>
  </w:footnote>
  <w:footnote w:type="continuationSeparator" w:id="0">
    <w:p w14:paraId="1B7FB923" w14:textId="77777777" w:rsidR="00F4293F" w:rsidRDefault="00F4293F" w:rsidP="0087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4BC"/>
    <w:multiLevelType w:val="multilevel"/>
    <w:tmpl w:val="1BFE5EF0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66A"/>
    <w:multiLevelType w:val="hybridMultilevel"/>
    <w:tmpl w:val="7D8CB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7B96"/>
    <w:multiLevelType w:val="hybridMultilevel"/>
    <w:tmpl w:val="FA4E2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1F35"/>
    <w:multiLevelType w:val="multilevel"/>
    <w:tmpl w:val="1BFE5EF0"/>
    <w:numStyleLink w:val="StyleBulleted"/>
  </w:abstractNum>
  <w:abstractNum w:abstractNumId="4" w15:restartNumberingAfterBreak="0">
    <w:nsid w:val="6AF62CE9"/>
    <w:multiLevelType w:val="hybridMultilevel"/>
    <w:tmpl w:val="2B26AD82"/>
    <w:lvl w:ilvl="0" w:tplc="72C445B0">
      <w:start w:val="1"/>
      <w:numFmt w:val="upperLetter"/>
      <w:pStyle w:val="ListParagraph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3B"/>
    <w:rsid w:val="00006966"/>
    <w:rsid w:val="00027FE7"/>
    <w:rsid w:val="00045579"/>
    <w:rsid w:val="000C1E38"/>
    <w:rsid w:val="00107B0A"/>
    <w:rsid w:val="00137A22"/>
    <w:rsid w:val="00230520"/>
    <w:rsid w:val="002A4532"/>
    <w:rsid w:val="002A6453"/>
    <w:rsid w:val="00324765"/>
    <w:rsid w:val="003317FD"/>
    <w:rsid w:val="003662C2"/>
    <w:rsid w:val="003867CD"/>
    <w:rsid w:val="00387840"/>
    <w:rsid w:val="00395D60"/>
    <w:rsid w:val="003B0A9E"/>
    <w:rsid w:val="003E1A98"/>
    <w:rsid w:val="003F2449"/>
    <w:rsid w:val="004037FB"/>
    <w:rsid w:val="00456E12"/>
    <w:rsid w:val="00487C4E"/>
    <w:rsid w:val="004C2D6E"/>
    <w:rsid w:val="004D0C51"/>
    <w:rsid w:val="00521C48"/>
    <w:rsid w:val="0055366D"/>
    <w:rsid w:val="00567829"/>
    <w:rsid w:val="00583010"/>
    <w:rsid w:val="005A734A"/>
    <w:rsid w:val="005B71E6"/>
    <w:rsid w:val="00606490"/>
    <w:rsid w:val="00610BBF"/>
    <w:rsid w:val="00653DD8"/>
    <w:rsid w:val="006D410C"/>
    <w:rsid w:val="00710678"/>
    <w:rsid w:val="00721843"/>
    <w:rsid w:val="007363A3"/>
    <w:rsid w:val="00775E5A"/>
    <w:rsid w:val="0078702B"/>
    <w:rsid w:val="007A7E53"/>
    <w:rsid w:val="007B74E8"/>
    <w:rsid w:val="007C45B9"/>
    <w:rsid w:val="007C5F40"/>
    <w:rsid w:val="007F1F73"/>
    <w:rsid w:val="0084714F"/>
    <w:rsid w:val="0087663B"/>
    <w:rsid w:val="0088053E"/>
    <w:rsid w:val="00884D02"/>
    <w:rsid w:val="008A4529"/>
    <w:rsid w:val="008B7218"/>
    <w:rsid w:val="008C7486"/>
    <w:rsid w:val="008D62A5"/>
    <w:rsid w:val="008E2ABB"/>
    <w:rsid w:val="008F4217"/>
    <w:rsid w:val="009C5CF6"/>
    <w:rsid w:val="009C6B85"/>
    <w:rsid w:val="009D5665"/>
    <w:rsid w:val="009F4311"/>
    <w:rsid w:val="009F6197"/>
    <w:rsid w:val="00A2075E"/>
    <w:rsid w:val="00A47F81"/>
    <w:rsid w:val="00A97253"/>
    <w:rsid w:val="00AB5636"/>
    <w:rsid w:val="00AB7D52"/>
    <w:rsid w:val="00B03DD2"/>
    <w:rsid w:val="00B051B3"/>
    <w:rsid w:val="00B86CDE"/>
    <w:rsid w:val="00BC63BC"/>
    <w:rsid w:val="00BD4071"/>
    <w:rsid w:val="00C04E01"/>
    <w:rsid w:val="00C5158F"/>
    <w:rsid w:val="00C72515"/>
    <w:rsid w:val="00C92447"/>
    <w:rsid w:val="00C95992"/>
    <w:rsid w:val="00C95E77"/>
    <w:rsid w:val="00CF5707"/>
    <w:rsid w:val="00D077FA"/>
    <w:rsid w:val="00D6469F"/>
    <w:rsid w:val="00D749CB"/>
    <w:rsid w:val="00DD65B2"/>
    <w:rsid w:val="00E12090"/>
    <w:rsid w:val="00E65BDD"/>
    <w:rsid w:val="00E7635C"/>
    <w:rsid w:val="00F4293F"/>
    <w:rsid w:val="00F72AB7"/>
    <w:rsid w:val="00F87ABA"/>
    <w:rsid w:val="00FD0A29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7FB8DC"/>
  <w15:docId w15:val="{715E8560-4379-4108-A4B9-6FED7453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3B"/>
  </w:style>
  <w:style w:type="paragraph" w:styleId="Footer">
    <w:name w:val="footer"/>
    <w:basedOn w:val="Normal"/>
    <w:link w:val="FooterChar"/>
    <w:uiPriority w:val="99"/>
    <w:unhideWhenUsed/>
    <w:rsid w:val="0087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3B"/>
  </w:style>
  <w:style w:type="numbering" w:customStyle="1" w:styleId="StyleBulleted">
    <w:name w:val="Style Bulleted"/>
    <w:basedOn w:val="NoList"/>
    <w:rsid w:val="0087663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7FD"/>
    <w:pPr>
      <w:numPr>
        <w:numId w:val="4"/>
      </w:numPr>
      <w:spacing w:before="240" w:after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1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7FD"/>
    <w:rPr>
      <w:vertAlign w:val="superscript"/>
    </w:rPr>
  </w:style>
  <w:style w:type="paragraph" w:styleId="Revision">
    <w:name w:val="Revision"/>
    <w:hidden/>
    <w:uiPriority w:val="99"/>
    <w:semiHidden/>
    <w:rsid w:val="00F72A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Schirmer, Peter</dc:creator>
  <cp:lastModifiedBy>Schirmer, Peter</cp:lastModifiedBy>
  <cp:revision>6</cp:revision>
  <dcterms:created xsi:type="dcterms:W3CDTF">2018-07-04T00:34:00Z</dcterms:created>
  <dcterms:modified xsi:type="dcterms:W3CDTF">2018-08-03T06:26:00Z</dcterms:modified>
</cp:coreProperties>
</file>